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0" w:type="dxa"/>
        <w:tblLook w:val="01E0" w:firstRow="1" w:lastRow="1" w:firstColumn="1" w:lastColumn="1" w:noHBand="0" w:noVBand="0"/>
      </w:tblPr>
      <w:tblGrid>
        <w:gridCol w:w="2070"/>
        <w:gridCol w:w="7740"/>
      </w:tblGrid>
      <w:tr w:rsidR="00E55394" w:rsidRPr="00755C0E" w14:paraId="70EAD6D7" w14:textId="77777777" w:rsidTr="00C82A8B">
        <w:trPr>
          <w:trHeight w:val="2865"/>
        </w:trPr>
        <w:tc>
          <w:tcPr>
            <w:tcW w:w="2070" w:type="dxa"/>
          </w:tcPr>
          <w:p w14:paraId="09629F8D" w14:textId="77777777" w:rsidR="00E55394" w:rsidRPr="001F547C" w:rsidRDefault="00E55394" w:rsidP="00B16D88">
            <w:pPr>
              <w:spacing w:line="380" w:lineRule="exact"/>
              <w:ind w:left="14" w:right="-78"/>
              <w:rPr>
                <w:rFonts w:cstheme="minorBidi"/>
                <w:color w:val="7E7F82"/>
                <w:sz w:val="28"/>
                <w:cs/>
              </w:rPr>
            </w:pPr>
          </w:p>
        </w:tc>
        <w:tc>
          <w:tcPr>
            <w:tcW w:w="7740" w:type="dxa"/>
            <w:vAlign w:val="center"/>
          </w:tcPr>
          <w:p w14:paraId="278F8B1D" w14:textId="77777777" w:rsidR="00042B04" w:rsidRDefault="00012B77" w:rsidP="00B16D88">
            <w:pPr>
              <w:spacing w:line="380" w:lineRule="exact"/>
              <w:ind w:left="14" w:right="-78"/>
              <w:rPr>
                <w:rFonts w:cs="Times New Roman"/>
                <w:color w:val="7E7F82"/>
                <w:sz w:val="28"/>
              </w:rPr>
            </w:pPr>
            <w:r>
              <w:rPr>
                <w:rFonts w:cs="Times New Roman"/>
                <w:color w:val="7E7F82"/>
                <w:sz w:val="28"/>
              </w:rPr>
              <w:t>Ingress Industrial (Thailand) Public Company Limited</w:t>
            </w:r>
            <w:r w:rsidR="00042B04" w:rsidRPr="00042B04">
              <w:rPr>
                <w:rFonts w:cs="Times New Roman"/>
                <w:color w:val="7E7F82"/>
                <w:sz w:val="28"/>
              </w:rPr>
              <w:t xml:space="preserve"> </w:t>
            </w:r>
          </w:p>
          <w:p w14:paraId="48D8956D" w14:textId="77777777" w:rsidR="00E55394" w:rsidRPr="00755C0E" w:rsidRDefault="00E55394" w:rsidP="00B16D88">
            <w:pPr>
              <w:spacing w:line="380" w:lineRule="exact"/>
              <w:ind w:left="14" w:right="-78"/>
              <w:rPr>
                <w:rFonts w:cs="Times New Roman"/>
                <w:color w:val="7E7F82"/>
                <w:sz w:val="28"/>
              </w:rPr>
            </w:pPr>
            <w:r w:rsidRPr="00755C0E">
              <w:rPr>
                <w:rFonts w:cs="Times New Roman"/>
                <w:color w:val="7E7F82"/>
                <w:sz w:val="28"/>
              </w:rPr>
              <w:t>and its subsidiaries</w:t>
            </w:r>
          </w:p>
          <w:p w14:paraId="1CDC4681" w14:textId="77777777" w:rsidR="002D3E98" w:rsidRPr="00B16D88" w:rsidRDefault="002D3E98" w:rsidP="00B16D88">
            <w:pPr>
              <w:spacing w:line="380" w:lineRule="exact"/>
              <w:ind w:left="14" w:right="-78"/>
              <w:rPr>
                <w:rFonts w:cs="Times New Roman"/>
                <w:color w:val="7E7F82"/>
                <w:sz w:val="28"/>
              </w:rPr>
            </w:pPr>
            <w:r w:rsidRPr="002D3E98">
              <w:rPr>
                <w:rFonts w:cs="Times New Roman"/>
                <w:color w:val="7E7F82"/>
                <w:sz w:val="28"/>
              </w:rPr>
              <w:t xml:space="preserve">Review report and consolidated and separate financial information </w:t>
            </w:r>
          </w:p>
          <w:p w14:paraId="17977D61" w14:textId="63827A9A" w:rsidR="008D6172" w:rsidRDefault="00557CEA" w:rsidP="00FF4980">
            <w:pPr>
              <w:spacing w:line="380" w:lineRule="exact"/>
              <w:ind w:left="14" w:right="-78"/>
              <w:rPr>
                <w:rFonts w:cs="Times New Roman"/>
                <w:color w:val="7E7F82"/>
                <w:sz w:val="28"/>
              </w:rPr>
            </w:pPr>
            <w:r w:rsidRPr="00755C0E">
              <w:rPr>
                <w:rFonts w:cs="Times New Roman"/>
                <w:color w:val="7E7F82"/>
                <w:sz w:val="28"/>
              </w:rPr>
              <w:t xml:space="preserve">For the </w:t>
            </w:r>
            <w:r>
              <w:rPr>
                <w:rFonts w:cs="Times New Roman"/>
                <w:color w:val="7E7F82"/>
                <w:sz w:val="28"/>
              </w:rPr>
              <w:t xml:space="preserve">three-month </w:t>
            </w:r>
            <w:r w:rsidR="008D6172" w:rsidRPr="008D6172">
              <w:rPr>
                <w:rFonts w:cs="Times New Roman"/>
                <w:color w:val="7E7F82"/>
                <w:sz w:val="28"/>
              </w:rPr>
              <w:t xml:space="preserve">and </w:t>
            </w:r>
            <w:r w:rsidR="00EC76BF">
              <w:rPr>
                <w:rFonts w:cs="Times New Roman"/>
                <w:color w:val="7E7F82"/>
                <w:sz w:val="28"/>
              </w:rPr>
              <w:t>nine-month</w:t>
            </w:r>
            <w:r w:rsidR="008D6172" w:rsidRPr="008D6172">
              <w:rPr>
                <w:rFonts w:cs="Times New Roman"/>
                <w:color w:val="7E7F82"/>
                <w:sz w:val="28"/>
              </w:rPr>
              <w:t xml:space="preserve"> periods </w:t>
            </w:r>
            <w:r w:rsidRPr="00755C0E">
              <w:rPr>
                <w:rFonts w:cs="Times New Roman"/>
                <w:color w:val="7E7F82"/>
                <w:sz w:val="28"/>
              </w:rPr>
              <w:t>ended</w:t>
            </w:r>
            <w:r w:rsidR="00064E27" w:rsidRPr="00B16D88">
              <w:rPr>
                <w:rFonts w:cs="Times New Roman"/>
                <w:color w:val="7E7F82"/>
                <w:sz w:val="28"/>
              </w:rPr>
              <w:t xml:space="preserve"> </w:t>
            </w:r>
          </w:p>
          <w:p w14:paraId="0CF36809" w14:textId="63B5BC82" w:rsidR="00E55394" w:rsidRPr="00B16D88" w:rsidRDefault="0070058A" w:rsidP="00FF4980">
            <w:pPr>
              <w:spacing w:line="380" w:lineRule="exact"/>
              <w:ind w:left="14" w:right="-78"/>
              <w:rPr>
                <w:rFonts w:cs="Times New Roman"/>
                <w:color w:val="7E7F82"/>
                <w:sz w:val="28"/>
              </w:rPr>
            </w:pPr>
            <w:r>
              <w:rPr>
                <w:rFonts w:cs="Times New Roman"/>
                <w:color w:val="7E7F82"/>
                <w:sz w:val="28"/>
              </w:rPr>
              <w:t>31 October 2025</w:t>
            </w:r>
          </w:p>
        </w:tc>
      </w:tr>
    </w:tbl>
    <w:p w14:paraId="7C40F16F" w14:textId="77777777" w:rsidR="00B8687C" w:rsidRPr="00755C0E" w:rsidRDefault="00B8687C" w:rsidP="00E55394">
      <w:pPr>
        <w:sectPr w:rsidR="00B8687C" w:rsidRPr="00755C0E" w:rsidSect="00227E1C">
          <w:footerReference w:type="even" r:id="rId8"/>
          <w:footerReference w:type="default" r:id="rId9"/>
          <w:footerReference w:type="first" r:id="rId10"/>
          <w:pgSz w:w="11907" w:h="16840" w:code="9"/>
          <w:pgMar w:top="3312" w:right="1080" w:bottom="1080" w:left="360" w:header="720" w:footer="720" w:gutter="0"/>
          <w:cols w:space="720"/>
          <w:titlePg/>
          <w:docGrid w:linePitch="360"/>
        </w:sectPr>
      </w:pPr>
    </w:p>
    <w:p w14:paraId="627B2EED" w14:textId="77777777" w:rsidR="00A934AD" w:rsidRDefault="00A934AD" w:rsidP="00702B31">
      <w:pPr>
        <w:spacing w:line="380" w:lineRule="exact"/>
        <w:jc w:val="thaiDistribute"/>
        <w:outlineLvl w:val="0"/>
        <w:rPr>
          <w:rFonts w:ascii="Arial" w:hAnsi="Arial" w:cs="Arial"/>
          <w:b/>
          <w:bCs/>
          <w:color w:val="000000"/>
          <w:sz w:val="22"/>
          <w:szCs w:val="22"/>
        </w:rPr>
      </w:pPr>
      <w:r w:rsidRPr="00043E96">
        <w:rPr>
          <w:rFonts w:ascii="Arial" w:hAnsi="Arial" w:cs="Arial"/>
          <w:b/>
          <w:bCs/>
          <w:color w:val="000000"/>
          <w:sz w:val="22"/>
          <w:szCs w:val="22"/>
        </w:rPr>
        <w:lastRenderedPageBreak/>
        <w:t xml:space="preserve">Independent Auditor’s Report on Review of Interim Financial Information </w:t>
      </w:r>
    </w:p>
    <w:p w14:paraId="2AC420D3" w14:textId="77777777" w:rsidR="00E55394" w:rsidRPr="00043E96" w:rsidRDefault="00042B04" w:rsidP="00702B31">
      <w:pPr>
        <w:tabs>
          <w:tab w:val="left" w:pos="1080"/>
        </w:tabs>
        <w:spacing w:line="380" w:lineRule="exact"/>
        <w:jc w:val="thaiDistribute"/>
        <w:outlineLvl w:val="0"/>
        <w:rPr>
          <w:rFonts w:ascii="Arial" w:hAnsi="Arial"/>
          <w:sz w:val="22"/>
          <w:szCs w:val="22"/>
        </w:rPr>
      </w:pPr>
      <w:r w:rsidRPr="00075B97">
        <w:rPr>
          <w:rFonts w:ascii="Arial" w:hAnsi="Arial" w:cs="Arial"/>
          <w:spacing w:val="-4"/>
          <w:sz w:val="22"/>
          <w:szCs w:val="22"/>
        </w:rPr>
        <w:t xml:space="preserve">To the Shareholders of </w:t>
      </w:r>
      <w:r w:rsidR="00012B77">
        <w:rPr>
          <w:rFonts w:ascii="Arial" w:hAnsi="Arial" w:cs="Arial"/>
          <w:spacing w:val="-4"/>
          <w:sz w:val="22"/>
          <w:szCs w:val="22"/>
        </w:rPr>
        <w:t>Ingress Industrial (Thailand) Public Company Limited</w:t>
      </w:r>
    </w:p>
    <w:p w14:paraId="3E1A9C06" w14:textId="4B19AB7F" w:rsidR="00EB701A" w:rsidRPr="008E057E" w:rsidRDefault="00E42D01" w:rsidP="00702B31">
      <w:pPr>
        <w:spacing w:before="360" w:after="120" w:line="380" w:lineRule="exact"/>
        <w:ind w:right="-140"/>
        <w:rPr>
          <w:rFonts w:ascii="Arial" w:hAnsi="Arial"/>
          <w:color w:val="000000" w:themeColor="text1"/>
          <w:sz w:val="22"/>
          <w:szCs w:val="22"/>
        </w:rPr>
      </w:pPr>
      <w:r w:rsidRPr="008E057E">
        <w:rPr>
          <w:rFonts w:ascii="Arial" w:hAnsi="Arial" w:cs="Arial"/>
          <w:color w:val="000000" w:themeColor="text1"/>
          <w:sz w:val="22"/>
          <w:szCs w:val="22"/>
        </w:rPr>
        <w:t>I</w:t>
      </w:r>
      <w:r w:rsidR="009564F3">
        <w:rPr>
          <w:rFonts w:ascii="Arial" w:hAnsi="Arial" w:cs="Arial"/>
          <w:color w:val="000000" w:themeColor="text1"/>
          <w:sz w:val="22"/>
          <w:szCs w:val="22"/>
        </w:rPr>
        <w:t xml:space="preserve"> </w:t>
      </w:r>
      <w:r w:rsidRPr="008E057E">
        <w:rPr>
          <w:rFonts w:ascii="Arial" w:hAnsi="Arial" w:cs="Arial"/>
          <w:color w:val="000000" w:themeColor="text1"/>
          <w:sz w:val="22"/>
          <w:szCs w:val="22"/>
        </w:rPr>
        <w:t xml:space="preserve">have reviewed the accompanying consolidated </w:t>
      </w:r>
      <w:r w:rsidRPr="008E057E">
        <w:rPr>
          <w:rFonts w:ascii="Arial" w:hAnsi="Arial" w:cs="Browallia New"/>
          <w:color w:val="000000" w:themeColor="text1"/>
          <w:sz w:val="22"/>
          <w:szCs w:val="22"/>
        </w:rPr>
        <w:t xml:space="preserve">financial information </w:t>
      </w:r>
      <w:r w:rsidRPr="008E057E">
        <w:rPr>
          <w:rFonts w:ascii="Arial" w:hAnsi="Arial" w:cs="Arial"/>
          <w:color w:val="000000" w:themeColor="text1"/>
          <w:sz w:val="22"/>
          <w:szCs w:val="22"/>
        </w:rPr>
        <w:t xml:space="preserve">of </w:t>
      </w:r>
      <w:r w:rsidRPr="008E057E">
        <w:rPr>
          <w:rFonts w:ascii="Arial" w:hAnsi="Arial"/>
          <w:color w:val="000000" w:themeColor="text1"/>
          <w:sz w:val="22"/>
          <w:szCs w:val="22"/>
        </w:rPr>
        <w:t>Ingress</w:t>
      </w:r>
      <w:r w:rsidR="009564F3">
        <w:rPr>
          <w:rFonts w:ascii="Arial" w:hAnsi="Arial"/>
          <w:color w:val="000000" w:themeColor="text1"/>
          <w:sz w:val="22"/>
          <w:szCs w:val="22"/>
        </w:rPr>
        <w:t xml:space="preserve"> </w:t>
      </w:r>
      <w:r w:rsidRPr="008E057E">
        <w:rPr>
          <w:rFonts w:ascii="Arial" w:hAnsi="Arial"/>
          <w:color w:val="000000" w:themeColor="text1"/>
          <w:sz w:val="22"/>
          <w:szCs w:val="22"/>
        </w:rPr>
        <w:t>Industrial (Thailand)</w:t>
      </w:r>
      <w:r w:rsidRPr="008E057E">
        <w:rPr>
          <w:rFonts w:ascii="Arial" w:hAnsi="Arial" w:cs="Arial"/>
          <w:color w:val="000000" w:themeColor="text1"/>
          <w:sz w:val="22"/>
          <w:szCs w:val="22"/>
        </w:rPr>
        <w:t xml:space="preserve"> Public Company Limited and its subsidiaries (the Group), which comprises the consolidated statement of financial position as at </w:t>
      </w:r>
      <w:r w:rsidR="0070058A">
        <w:rPr>
          <w:rFonts w:ascii="Arial" w:hAnsi="Arial" w:cs="Arial"/>
          <w:color w:val="000000" w:themeColor="text1"/>
          <w:sz w:val="22"/>
          <w:szCs w:val="22"/>
        </w:rPr>
        <w:t>31 October 2025</w:t>
      </w:r>
      <w:r w:rsidR="007B355C">
        <w:rPr>
          <w:rFonts w:ascii="Arial" w:hAnsi="Arial" w:cs="Arial"/>
          <w:color w:val="000000" w:themeColor="text1"/>
          <w:sz w:val="22"/>
          <w:szCs w:val="22"/>
        </w:rPr>
        <w:t xml:space="preserve">, </w:t>
      </w:r>
      <w:r w:rsidR="007B355C" w:rsidRPr="008E057E">
        <w:rPr>
          <w:rFonts w:ascii="Arial" w:hAnsi="Arial" w:cs="Arial"/>
          <w:color w:val="000000" w:themeColor="text1"/>
          <w:sz w:val="22"/>
          <w:szCs w:val="22"/>
        </w:rPr>
        <w:t>the related consolidated statements of</w:t>
      </w:r>
      <w:r w:rsidR="007B355C" w:rsidRPr="008E057E">
        <w:rPr>
          <w:rFonts w:ascii="Cordia New" w:hAnsi="Cordia New" w:cs="Cordia New"/>
          <w:color w:val="000000" w:themeColor="text1"/>
          <w:sz w:val="22"/>
          <w:szCs w:val="22"/>
          <w:cs/>
        </w:rPr>
        <w:t xml:space="preserve"> </w:t>
      </w:r>
      <w:r w:rsidR="007B355C" w:rsidRPr="008E057E">
        <w:rPr>
          <w:rFonts w:ascii="Arial" w:hAnsi="Arial" w:cs="Arial"/>
          <w:color w:val="000000" w:themeColor="text1"/>
          <w:sz w:val="22"/>
          <w:szCs w:val="22"/>
        </w:rPr>
        <w:t xml:space="preserve">comprehensive income for the three-month and </w:t>
      </w:r>
      <w:r w:rsidR="00EC76BF">
        <w:rPr>
          <w:rFonts w:ascii="Arial" w:hAnsi="Arial" w:cs="Arial"/>
          <w:color w:val="000000" w:themeColor="text1"/>
          <w:sz w:val="22"/>
          <w:szCs w:val="22"/>
        </w:rPr>
        <w:t>nine-month</w:t>
      </w:r>
      <w:r w:rsidR="007B355C" w:rsidRPr="008E057E">
        <w:rPr>
          <w:rFonts w:ascii="Arial" w:hAnsi="Arial" w:cs="Arial"/>
          <w:color w:val="000000" w:themeColor="text1"/>
          <w:sz w:val="22"/>
          <w:szCs w:val="22"/>
        </w:rPr>
        <w:t xml:space="preserve"> periods then ended,</w:t>
      </w:r>
      <w:r w:rsidR="007B355C">
        <w:rPr>
          <w:rFonts w:ascii="Arial" w:hAnsi="Arial" w:cs="Arial"/>
          <w:color w:val="000000" w:themeColor="text1"/>
          <w:sz w:val="22"/>
          <w:szCs w:val="22"/>
        </w:rPr>
        <w:t xml:space="preserve">                                          </w:t>
      </w:r>
      <w:r w:rsidR="007B355C" w:rsidRPr="008E057E">
        <w:rPr>
          <w:rFonts w:ascii="Arial" w:hAnsi="Arial" w:cs="Arial"/>
          <w:color w:val="000000" w:themeColor="text1"/>
          <w:sz w:val="22"/>
          <w:szCs w:val="22"/>
        </w:rPr>
        <w:t xml:space="preserve"> and the related consolidated statements of changes in shareholders’ equity and cash flows for </w:t>
      </w:r>
      <w:r w:rsidR="007B355C">
        <w:rPr>
          <w:rFonts w:ascii="Arial" w:hAnsi="Arial" w:cs="Arial"/>
          <w:color w:val="000000" w:themeColor="text1"/>
          <w:sz w:val="22"/>
          <w:szCs w:val="22"/>
        </w:rPr>
        <w:t xml:space="preserve">                </w:t>
      </w:r>
      <w:r w:rsidR="007B355C" w:rsidRPr="008E057E">
        <w:rPr>
          <w:rFonts w:ascii="Arial" w:hAnsi="Arial" w:cs="Arial"/>
          <w:color w:val="000000" w:themeColor="text1"/>
          <w:sz w:val="22"/>
          <w:szCs w:val="22"/>
        </w:rPr>
        <w:t xml:space="preserve">the </w:t>
      </w:r>
      <w:r w:rsidR="00EC76BF">
        <w:rPr>
          <w:rFonts w:ascii="Arial" w:hAnsi="Arial" w:cs="Arial"/>
          <w:color w:val="000000" w:themeColor="text1"/>
          <w:sz w:val="22"/>
          <w:szCs w:val="22"/>
        </w:rPr>
        <w:t>nine-month</w:t>
      </w:r>
      <w:r w:rsidR="007B355C" w:rsidRPr="008E057E">
        <w:rPr>
          <w:rFonts w:ascii="Arial" w:hAnsi="Arial" w:cs="Arial"/>
          <w:color w:val="000000" w:themeColor="text1"/>
          <w:sz w:val="22"/>
          <w:szCs w:val="22"/>
        </w:rPr>
        <w:t xml:space="preserve"> period then ended, as well as the condensed notes to the interim consolidated financial statements. I have also reviewed the separate financial information of </w:t>
      </w:r>
      <w:r w:rsidR="007B355C" w:rsidRPr="008E057E">
        <w:rPr>
          <w:rFonts w:ascii="Arial" w:hAnsi="Arial"/>
          <w:color w:val="000000" w:themeColor="text1"/>
          <w:sz w:val="22"/>
          <w:szCs w:val="22"/>
        </w:rPr>
        <w:t>Ingress</w:t>
      </w:r>
      <w:r w:rsidR="007B355C" w:rsidRPr="008E057E">
        <w:rPr>
          <w:rFonts w:ascii="Arial" w:hAnsi="Arial" w:hint="cs"/>
          <w:color w:val="000000" w:themeColor="text1"/>
          <w:sz w:val="22"/>
          <w:szCs w:val="22"/>
          <w:cs/>
        </w:rPr>
        <w:t xml:space="preserve"> </w:t>
      </w:r>
      <w:r w:rsidR="007B355C" w:rsidRPr="008E057E">
        <w:rPr>
          <w:rFonts w:ascii="Arial" w:hAnsi="Arial"/>
          <w:color w:val="000000" w:themeColor="text1"/>
          <w:sz w:val="22"/>
          <w:szCs w:val="22"/>
        </w:rPr>
        <w:t>Industrial (Thailand)</w:t>
      </w:r>
      <w:r w:rsidR="007B355C" w:rsidRPr="008E057E">
        <w:rPr>
          <w:rFonts w:ascii="Arial" w:hAnsi="Arial" w:cs="Arial"/>
          <w:color w:val="000000" w:themeColor="text1"/>
          <w:sz w:val="22"/>
          <w:szCs w:val="22"/>
        </w:rPr>
        <w:t xml:space="preserve"> Public Company Limited for the same periods</w:t>
      </w:r>
      <w:r w:rsidRPr="008E057E">
        <w:rPr>
          <w:rFonts w:ascii="Arial" w:hAnsi="Arial" w:cs="Arial"/>
          <w:color w:val="000000" w:themeColor="text1"/>
          <w:sz w:val="22"/>
          <w:szCs w:val="22"/>
        </w:rPr>
        <w:t xml:space="preserve"> (collectively “</w:t>
      </w:r>
      <w:r w:rsidRPr="008E057E">
        <w:rPr>
          <w:rFonts w:ascii="Arial" w:hAnsi="Arial" w:cs="Browallia New"/>
          <w:color w:val="000000" w:themeColor="text1"/>
          <w:sz w:val="22"/>
          <w:szCs w:val="22"/>
        </w:rPr>
        <w:t>the</w:t>
      </w:r>
      <w:r w:rsidRPr="008E057E">
        <w:rPr>
          <w:rFonts w:ascii="Arial" w:hAnsi="Arial" w:cs="Arial"/>
          <w:color w:val="000000" w:themeColor="text1"/>
          <w:sz w:val="22"/>
          <w:szCs w:val="22"/>
        </w:rPr>
        <w:t xml:space="preserve"> interim financial information”). Management is responsible for the preparation and presentation of this interim financial information in accordance with Thai Accounting Standard 34 </w:t>
      </w:r>
      <w:r w:rsidRPr="008E057E">
        <w:rPr>
          <w:rFonts w:ascii="Arial" w:hAnsi="Arial" w:cs="Arial"/>
          <w:i/>
          <w:iCs/>
          <w:color w:val="000000" w:themeColor="text1"/>
          <w:sz w:val="22"/>
          <w:szCs w:val="22"/>
        </w:rPr>
        <w:t>Interim Financial Reporting</w:t>
      </w:r>
      <w:r w:rsidRPr="008E057E">
        <w:rPr>
          <w:rFonts w:ascii="Arial" w:hAnsi="Arial" w:cs="Arial"/>
          <w:color w:val="000000" w:themeColor="text1"/>
          <w:sz w:val="22"/>
          <w:szCs w:val="22"/>
        </w:rPr>
        <w:t>. My responsibility is to express a conclusion on this interim financial information based on my review.</w:t>
      </w:r>
    </w:p>
    <w:p w14:paraId="53DF8981" w14:textId="77777777" w:rsidR="00D45FE5" w:rsidRPr="00043E96" w:rsidRDefault="00D45FE5" w:rsidP="00702B31">
      <w:pPr>
        <w:spacing w:before="240" w:after="120" w:line="380" w:lineRule="exact"/>
        <w:rPr>
          <w:rFonts w:ascii="Arial" w:hAnsi="Arial" w:cs="Arial"/>
          <w:b/>
          <w:bCs/>
          <w:sz w:val="22"/>
          <w:szCs w:val="22"/>
        </w:rPr>
      </w:pPr>
      <w:r w:rsidRPr="00043E96">
        <w:rPr>
          <w:rFonts w:ascii="Arial" w:hAnsi="Arial" w:cs="Arial"/>
          <w:b/>
          <w:bCs/>
          <w:sz w:val="22"/>
          <w:szCs w:val="22"/>
        </w:rPr>
        <w:t>Scope of review</w:t>
      </w:r>
    </w:p>
    <w:p w14:paraId="287A7930" w14:textId="77777777" w:rsidR="001D5708" w:rsidRPr="00043E96" w:rsidRDefault="001D5708" w:rsidP="001D5708">
      <w:pPr>
        <w:spacing w:before="120" w:after="120" w:line="380" w:lineRule="exact"/>
        <w:rPr>
          <w:rFonts w:ascii="Arial" w:hAnsi="Arial" w:cstheme="minorBidi"/>
          <w:sz w:val="22"/>
          <w:szCs w:val="22"/>
        </w:rPr>
      </w:pPr>
      <w:r w:rsidRPr="00043E96">
        <w:rPr>
          <w:rFonts w:ascii="Arial" w:hAnsi="Arial" w:cs="Arial"/>
          <w:sz w:val="22"/>
          <w:szCs w:val="22"/>
        </w:rPr>
        <w:t>I conducted my review in accordance with</w:t>
      </w:r>
      <w:r>
        <w:rPr>
          <w:rFonts w:ascii="Arial" w:hAnsi="Arial" w:cs="Arial"/>
          <w:sz w:val="22"/>
          <w:szCs w:val="22"/>
        </w:rPr>
        <w:t xml:space="preserve"> Thai</w:t>
      </w:r>
      <w:r w:rsidRPr="00043E96">
        <w:rPr>
          <w:rFonts w:ascii="Arial" w:hAnsi="Arial" w:cs="Arial"/>
          <w:sz w:val="22"/>
          <w:szCs w:val="22"/>
        </w:rPr>
        <w:t xml:space="preserve"> Standard on Review Engagements </w:t>
      </w:r>
      <w:proofErr w:type="gramStart"/>
      <w:r w:rsidRPr="0084346C">
        <w:rPr>
          <w:rFonts w:ascii="Arial" w:hAnsi="Arial" w:cs="Arial"/>
          <w:sz w:val="22"/>
          <w:szCs w:val="22"/>
          <w:cs/>
        </w:rPr>
        <w:t>2410</w:t>
      </w:r>
      <w:r w:rsidRPr="0084346C">
        <w:rPr>
          <w:rFonts w:ascii="Arial" w:hAnsi="Arial" w:cs="Arial"/>
          <w:sz w:val="22"/>
          <w:szCs w:val="22"/>
        </w:rPr>
        <w:t xml:space="preserve">, </w:t>
      </w:r>
      <w:r>
        <w:rPr>
          <w:rFonts w:ascii="Arial" w:hAnsi="Arial" w:cs="Arial"/>
          <w:sz w:val="22"/>
          <w:szCs w:val="22"/>
        </w:rPr>
        <w:t xml:space="preserve">  </w:t>
      </w:r>
      <w:proofErr w:type="gramEnd"/>
      <w:r>
        <w:rPr>
          <w:rFonts w:ascii="Arial" w:hAnsi="Arial" w:cs="Arial"/>
          <w:sz w:val="22"/>
          <w:szCs w:val="22"/>
        </w:rPr>
        <w:t xml:space="preserve">             </w:t>
      </w:r>
      <w:r w:rsidRPr="00822366">
        <w:rPr>
          <w:rFonts w:ascii="Arial" w:hAnsi="Arial" w:cs="Arial"/>
          <w:i/>
          <w:iCs/>
          <w:sz w:val="22"/>
          <w:szCs w:val="22"/>
        </w:rPr>
        <w:t>Review of Interim Financial Information Performed by the Independent Auditor of the Entity</w:t>
      </w:r>
      <w:r w:rsidRPr="0084346C">
        <w:rPr>
          <w:rFonts w:ascii="Arial" w:hAnsi="Arial" w:cs="Arial"/>
          <w:sz w:val="22"/>
          <w:szCs w:val="22"/>
        </w:rPr>
        <w:t xml:space="preserve">. </w:t>
      </w:r>
      <w:r>
        <w:rPr>
          <w:rFonts w:ascii="Arial" w:hAnsi="Arial" w:cs="Arial"/>
          <w:sz w:val="22"/>
          <w:szCs w:val="22"/>
        </w:rPr>
        <w:t xml:space="preserve">                 </w:t>
      </w:r>
      <w:r w:rsidRPr="0084346C">
        <w:rPr>
          <w:rFonts w:ascii="Arial" w:hAnsi="Arial" w:cs="Arial"/>
          <w:sz w:val="22"/>
          <w:szCs w:val="22"/>
        </w:rPr>
        <w:t>A review of interim financial information consists of making inquiries, primarily of persons responsible for</w:t>
      </w:r>
      <w:r w:rsidRPr="00043E96">
        <w:rPr>
          <w:rFonts w:ascii="Arial" w:hAnsi="Arial" w:cs="Arial"/>
          <w:sz w:val="22"/>
          <w:szCs w:val="22"/>
        </w:rPr>
        <w:t xml:space="preserve"> financial and accounting matters, and applying analytical and other review procedures. A review is substantially less in scope than an audit conducted in accordance with </w:t>
      </w:r>
      <w:r>
        <w:rPr>
          <w:rFonts w:ascii="Arial" w:hAnsi="Arial" w:cs="Arial"/>
          <w:sz w:val="22"/>
          <w:szCs w:val="22"/>
        </w:rPr>
        <w:t xml:space="preserve">Thai Standards on </w:t>
      </w:r>
      <w:r w:rsidRPr="00697673">
        <w:rPr>
          <w:rFonts w:ascii="Arial" w:hAnsi="Arial" w:cs="Arial"/>
          <w:spacing w:val="-4"/>
          <w:sz w:val="22"/>
          <w:szCs w:val="22"/>
        </w:rPr>
        <w:t>Auditing and consequently does not enable me to obtain assurance that I would become aware of all significant matters that might be identified in an audit. Accordingly, I do not express an audit opinion.</w:t>
      </w:r>
    </w:p>
    <w:p w14:paraId="434AADBF" w14:textId="77777777" w:rsidR="001D5708" w:rsidRPr="00043E96" w:rsidRDefault="001D5708" w:rsidP="001D5708">
      <w:pPr>
        <w:spacing w:before="240" w:after="120" w:line="380" w:lineRule="exact"/>
        <w:rPr>
          <w:rFonts w:ascii="Arial" w:hAnsi="Arial" w:cs="Arial"/>
          <w:b/>
          <w:bCs/>
          <w:sz w:val="22"/>
          <w:szCs w:val="22"/>
        </w:rPr>
      </w:pPr>
      <w:r>
        <w:rPr>
          <w:rFonts w:ascii="Arial" w:hAnsi="Arial" w:cs="Arial"/>
          <w:b/>
          <w:bCs/>
          <w:sz w:val="22"/>
          <w:szCs w:val="22"/>
        </w:rPr>
        <w:t>Conclusion</w:t>
      </w:r>
    </w:p>
    <w:p w14:paraId="22F862A3" w14:textId="77777777" w:rsidR="001D5708" w:rsidRDefault="001D5708" w:rsidP="001D5708">
      <w:pPr>
        <w:spacing w:before="120" w:after="120" w:line="380" w:lineRule="exact"/>
        <w:rPr>
          <w:rFonts w:ascii="Arial" w:hAnsi="Arial" w:cs="Arial"/>
          <w:i/>
          <w:iCs/>
          <w:sz w:val="22"/>
          <w:szCs w:val="22"/>
        </w:rPr>
      </w:pPr>
      <w:r w:rsidRPr="00043E96">
        <w:rPr>
          <w:rFonts w:ascii="Arial" w:hAnsi="Arial" w:cs="Arial"/>
          <w:sz w:val="22"/>
          <w:szCs w:val="22"/>
        </w:rPr>
        <w:t xml:space="preserve">Based on my review, nothing has come to my attention that causes me to believe that </w:t>
      </w:r>
      <w:r>
        <w:rPr>
          <w:rFonts w:ascii="Arial" w:hAnsi="Arial" w:cstheme="minorBidi" w:hint="cs"/>
          <w:sz w:val="22"/>
          <w:szCs w:val="22"/>
          <w:cs/>
        </w:rPr>
        <w:t xml:space="preserve">                                 </w:t>
      </w:r>
      <w:r w:rsidRPr="0029492D">
        <w:rPr>
          <w:rFonts w:ascii="Arial" w:hAnsi="Arial" w:cs="Arial"/>
          <w:spacing w:val="-6"/>
          <w:sz w:val="22"/>
          <w:szCs w:val="22"/>
        </w:rPr>
        <w:t>the accompanying interim financial information is not prepared, in all material respects, in accordance</w:t>
      </w:r>
      <w:r w:rsidRPr="00043E96">
        <w:rPr>
          <w:rFonts w:ascii="Arial" w:hAnsi="Arial" w:cs="Arial"/>
          <w:sz w:val="22"/>
          <w:szCs w:val="22"/>
        </w:rPr>
        <w:t xml:space="preserve"> with </w:t>
      </w:r>
      <w:r>
        <w:rPr>
          <w:rFonts w:ascii="Arial" w:hAnsi="Arial" w:cs="Arial"/>
          <w:sz w:val="22"/>
          <w:szCs w:val="22"/>
        </w:rPr>
        <w:t xml:space="preserve">Thai </w:t>
      </w:r>
      <w:r w:rsidRPr="00043E96">
        <w:rPr>
          <w:rFonts w:ascii="Arial" w:hAnsi="Arial" w:cs="Arial"/>
          <w:sz w:val="22"/>
          <w:szCs w:val="22"/>
        </w:rPr>
        <w:t xml:space="preserve">Accounting </w:t>
      </w:r>
      <w:r w:rsidRPr="002D5BA2">
        <w:rPr>
          <w:rFonts w:ascii="Arial" w:hAnsi="Arial" w:cs="Arial"/>
          <w:sz w:val="22"/>
          <w:szCs w:val="22"/>
        </w:rPr>
        <w:t xml:space="preserve">Standard 34 </w:t>
      </w:r>
      <w:r w:rsidRPr="00822366">
        <w:rPr>
          <w:rFonts w:ascii="Arial" w:hAnsi="Arial" w:cs="Arial"/>
          <w:i/>
          <w:iCs/>
          <w:sz w:val="22"/>
          <w:szCs w:val="22"/>
        </w:rPr>
        <w:t>Interim Financial Reporting.</w:t>
      </w:r>
    </w:p>
    <w:p w14:paraId="277798D7" w14:textId="77777777" w:rsidR="00AF6DD6" w:rsidRPr="001D5708" w:rsidRDefault="00AF6DD6" w:rsidP="00702B31">
      <w:pPr>
        <w:tabs>
          <w:tab w:val="left" w:pos="3352"/>
        </w:tabs>
        <w:overflowPunct/>
        <w:autoSpaceDE/>
        <w:autoSpaceDN/>
        <w:adjustRightInd/>
        <w:spacing w:before="240" w:after="120" w:line="380" w:lineRule="exact"/>
        <w:textAlignment w:val="auto"/>
        <w:rPr>
          <w:rFonts w:ascii="Arial" w:eastAsia="Calibri" w:hAnsi="Arial" w:cs="Arial"/>
          <w:b/>
          <w:bCs/>
          <w:sz w:val="22"/>
          <w:szCs w:val="22"/>
        </w:rPr>
      </w:pPr>
    </w:p>
    <w:p w14:paraId="067E54E6" w14:textId="77777777" w:rsidR="00AF6DD6" w:rsidRDefault="00AF6DD6" w:rsidP="000D6BEC">
      <w:pPr>
        <w:tabs>
          <w:tab w:val="left" w:pos="3352"/>
        </w:tabs>
        <w:overflowPunct/>
        <w:autoSpaceDE/>
        <w:autoSpaceDN/>
        <w:adjustRightInd/>
        <w:spacing w:before="240" w:after="120" w:line="370" w:lineRule="exact"/>
        <w:textAlignment w:val="auto"/>
        <w:rPr>
          <w:rFonts w:ascii="Arial" w:eastAsia="Calibri" w:hAnsi="Arial" w:cs="Arial"/>
          <w:b/>
          <w:bCs/>
          <w:sz w:val="22"/>
          <w:szCs w:val="22"/>
        </w:rPr>
        <w:sectPr w:rsidR="00AF6DD6" w:rsidSect="00AF6DD6">
          <w:footerReference w:type="first" r:id="rId11"/>
          <w:pgSz w:w="11909" w:h="16834" w:code="9"/>
          <w:pgMar w:top="3456" w:right="1080" w:bottom="1080" w:left="1339" w:header="706" w:footer="706" w:gutter="0"/>
          <w:pgNumType w:start="2"/>
          <w:cols w:space="720"/>
          <w:titlePg/>
          <w:docGrid w:linePitch="326"/>
        </w:sectPr>
      </w:pPr>
    </w:p>
    <w:p w14:paraId="79FD8F0D" w14:textId="77777777" w:rsidR="001D5708" w:rsidRPr="00254307" w:rsidRDefault="001D5708" w:rsidP="001D5708">
      <w:pPr>
        <w:spacing w:before="240" w:after="120" w:line="380" w:lineRule="exact"/>
        <w:rPr>
          <w:rFonts w:ascii="Arial" w:hAnsi="Arial" w:cs="Arial"/>
          <w:b/>
          <w:bCs/>
          <w:sz w:val="22"/>
          <w:szCs w:val="22"/>
        </w:rPr>
      </w:pPr>
      <w:r w:rsidRPr="00254307">
        <w:rPr>
          <w:rFonts w:ascii="Arial" w:hAnsi="Arial" w:cs="Arial"/>
          <w:b/>
          <w:bCs/>
          <w:sz w:val="22"/>
          <w:szCs w:val="22"/>
        </w:rPr>
        <w:lastRenderedPageBreak/>
        <w:t>Emphasis of Matter</w:t>
      </w:r>
    </w:p>
    <w:p w14:paraId="0CFB5772" w14:textId="6354D9AA" w:rsidR="001D5708" w:rsidRPr="001D5708" w:rsidRDefault="001D5708" w:rsidP="001F547C">
      <w:pPr>
        <w:tabs>
          <w:tab w:val="left" w:pos="3352"/>
        </w:tabs>
        <w:overflowPunct/>
        <w:autoSpaceDE/>
        <w:autoSpaceDN/>
        <w:adjustRightInd/>
        <w:spacing w:before="120" w:after="120" w:line="380" w:lineRule="exact"/>
        <w:textAlignment w:val="auto"/>
        <w:rPr>
          <w:rFonts w:ascii="Arial" w:hAnsi="Arial" w:cs="Arial"/>
          <w:sz w:val="22"/>
          <w:szCs w:val="22"/>
        </w:rPr>
      </w:pPr>
      <w:r w:rsidRPr="005E30C3">
        <w:rPr>
          <w:rFonts w:ascii="Arial" w:hAnsi="Arial" w:cs="Arial"/>
          <w:sz w:val="22"/>
          <w:szCs w:val="22"/>
        </w:rPr>
        <w:t>I draw attention to the condensed Note</w:t>
      </w:r>
      <w:r>
        <w:rPr>
          <w:rFonts w:ascii="Arial" w:hAnsi="Arial" w:cs="Arial"/>
          <w:sz w:val="22"/>
          <w:szCs w:val="22"/>
        </w:rPr>
        <w:t xml:space="preserve"> </w:t>
      </w:r>
      <w:r w:rsidRPr="005E30C3">
        <w:rPr>
          <w:rFonts w:ascii="Arial" w:hAnsi="Arial" w:cs="Arial"/>
          <w:sz w:val="22"/>
          <w:szCs w:val="22"/>
        </w:rPr>
        <w:t>2.3 a)</w:t>
      </w:r>
      <w:bookmarkStart w:id="0" w:name="_Hlk207825744"/>
      <w:r w:rsidR="000D6BEC" w:rsidRPr="007144E1">
        <w:rPr>
          <w:rFonts w:ascii="Arial" w:hAnsi="Arial" w:cs="Arial"/>
          <w:sz w:val="22"/>
          <w:szCs w:val="22"/>
        </w:rPr>
        <w:t xml:space="preserve"> to the interim financial statements regarding</w:t>
      </w:r>
      <w:r w:rsidR="000D6BEC" w:rsidRPr="007144E1">
        <w:rPr>
          <w:rFonts w:ascii="Arial" w:hAnsi="Arial" w:cs="Arial" w:hint="cs"/>
          <w:sz w:val="22"/>
          <w:szCs w:val="22"/>
          <w:cs/>
        </w:rPr>
        <w:t xml:space="preserve"> </w:t>
      </w:r>
      <w:r w:rsidR="000D6BEC" w:rsidRPr="007144E1">
        <w:rPr>
          <w:rFonts w:ascii="Arial" w:hAnsi="Arial" w:cs="Arial"/>
          <w:sz w:val="22"/>
          <w:szCs w:val="22"/>
        </w:rPr>
        <w:t xml:space="preserve">short-term loans to related parties, the Company and its subsidiaries in Malaysia provided short-term loans to the parent company. </w:t>
      </w:r>
      <w:r w:rsidRPr="001D5708">
        <w:rPr>
          <w:rFonts w:ascii="Arial" w:hAnsi="Arial" w:cs="Arial"/>
          <w:sz w:val="22"/>
          <w:szCs w:val="22"/>
        </w:rPr>
        <w:t xml:space="preserve">Under normal practice, the parent company would fully settle all outstanding loan balances before obtaining a new loan. However, since 31 January 2024, the parent company has taken additional loans while making only partial repayments. As a </w:t>
      </w:r>
      <w:proofErr w:type="gramStart"/>
      <w:r w:rsidRPr="001D5708">
        <w:rPr>
          <w:rFonts w:ascii="Arial" w:hAnsi="Arial" w:cs="Arial"/>
          <w:sz w:val="22"/>
          <w:szCs w:val="22"/>
        </w:rPr>
        <w:t>result</w:t>
      </w:r>
      <w:r w:rsidR="00CB5DF0">
        <w:rPr>
          <w:rFonts w:ascii="Arial" w:hAnsi="Arial" w:cs="Arial"/>
          <w:sz w:val="22"/>
          <w:szCs w:val="22"/>
        </w:rPr>
        <w:t xml:space="preserve">,   </w:t>
      </w:r>
      <w:proofErr w:type="gramEnd"/>
      <w:r w:rsidR="00CB5DF0">
        <w:rPr>
          <w:rFonts w:ascii="Arial" w:hAnsi="Arial" w:cs="Arial"/>
          <w:sz w:val="22"/>
          <w:szCs w:val="22"/>
        </w:rPr>
        <w:t xml:space="preserve">                               </w:t>
      </w:r>
      <w:r w:rsidRPr="001D5708">
        <w:rPr>
          <w:rFonts w:ascii="Arial" w:hAnsi="Arial" w:cs="Arial"/>
          <w:sz w:val="22"/>
          <w:szCs w:val="22"/>
        </w:rPr>
        <w:t xml:space="preserve"> as of 31 October 2025, the outstanding balance of short-term loans to the parent company and interest receivables amounted to MYR 90 million and MYR 9 million, respectively which is equivalent to Baht 691 million and Baht 71 million. These loans were approved by the Board of Directors of the Company and its subsidiaries in Malaysia. They are unsecured and carry an interest rate of 7 percent per annum, starting from 1 February 2024. The Group classifies these loans as short-term loans due to their revolving nature. In this regard, the Group has negotiated with the parent company to call in the full payment of the loan principal along with all interest receivables. </w:t>
      </w:r>
    </w:p>
    <w:p w14:paraId="215666D0" w14:textId="1E627ABD" w:rsidR="001D5708" w:rsidRPr="001D5708" w:rsidRDefault="001D5708" w:rsidP="001F547C">
      <w:pPr>
        <w:tabs>
          <w:tab w:val="left" w:pos="3352"/>
        </w:tabs>
        <w:overflowPunct/>
        <w:autoSpaceDE/>
        <w:autoSpaceDN/>
        <w:adjustRightInd/>
        <w:spacing w:before="120" w:after="120" w:line="380" w:lineRule="exact"/>
        <w:textAlignment w:val="auto"/>
        <w:rPr>
          <w:rFonts w:ascii="Arial" w:hAnsi="Arial" w:cs="Arial"/>
          <w:sz w:val="22"/>
          <w:szCs w:val="22"/>
        </w:rPr>
      </w:pPr>
      <w:r w:rsidRPr="001D5708">
        <w:rPr>
          <w:rFonts w:ascii="Arial" w:hAnsi="Arial" w:cs="Arial"/>
          <w:sz w:val="22"/>
          <w:szCs w:val="22"/>
        </w:rPr>
        <w:t xml:space="preserve">Additionally, the Company held an Extraordinary General Meeting of Shareholders on 14 August 2025 to seek ratification of a connected transaction relating to the provision of financial assistance to related parties, as the Company had not complied with the Thai Securities and Exchange Commission’s rules on connected transactions concerning the provision of financial assistance to related parties. However, the meeting resolved not to approve the ratification of the said transaction. Currently, the Company is in the process of implementing corrective actions in accordance with the disclosure made by the Company in response to the disapproval of the ratification of such transaction </w:t>
      </w:r>
      <w:proofErr w:type="gramStart"/>
      <w:r w:rsidRPr="001D5708">
        <w:rPr>
          <w:rFonts w:ascii="Arial" w:hAnsi="Arial" w:cs="Arial"/>
          <w:sz w:val="22"/>
          <w:szCs w:val="22"/>
        </w:rPr>
        <w:t>in order to</w:t>
      </w:r>
      <w:proofErr w:type="gramEnd"/>
      <w:r w:rsidRPr="001D5708">
        <w:rPr>
          <w:rFonts w:ascii="Arial" w:hAnsi="Arial" w:cs="Arial"/>
          <w:sz w:val="22"/>
          <w:szCs w:val="22"/>
        </w:rPr>
        <w:t xml:space="preserve"> demand repayment of the loans from the parent company.</w:t>
      </w:r>
    </w:p>
    <w:p w14:paraId="0AB30E76" w14:textId="479433AE" w:rsidR="001D5708" w:rsidRPr="001D5708" w:rsidRDefault="001D5708" w:rsidP="001F547C">
      <w:pPr>
        <w:tabs>
          <w:tab w:val="left" w:pos="3352"/>
        </w:tabs>
        <w:overflowPunct/>
        <w:autoSpaceDE/>
        <w:autoSpaceDN/>
        <w:adjustRightInd/>
        <w:spacing w:before="120" w:after="120" w:line="380" w:lineRule="exact"/>
        <w:textAlignment w:val="auto"/>
        <w:rPr>
          <w:rFonts w:ascii="Arial" w:hAnsi="Arial" w:cs="Arial"/>
          <w:sz w:val="22"/>
          <w:szCs w:val="22"/>
        </w:rPr>
      </w:pPr>
      <w:r w:rsidRPr="001D5708">
        <w:rPr>
          <w:rFonts w:ascii="Arial" w:hAnsi="Arial" w:cs="Arial"/>
          <w:sz w:val="22"/>
          <w:szCs w:val="22"/>
        </w:rPr>
        <w:t xml:space="preserve">Currently, the Group and the parent company are in discussions and negotiations to </w:t>
      </w:r>
      <w:proofErr w:type="spellStart"/>
      <w:r w:rsidRPr="001D5708">
        <w:rPr>
          <w:rFonts w:ascii="Arial" w:hAnsi="Arial" w:cs="Arial"/>
          <w:sz w:val="22"/>
          <w:szCs w:val="22"/>
        </w:rPr>
        <w:t>finalise</w:t>
      </w:r>
      <w:proofErr w:type="spellEnd"/>
      <w:r w:rsidRPr="001D5708">
        <w:rPr>
          <w:rFonts w:ascii="Arial" w:hAnsi="Arial" w:cs="Arial"/>
          <w:sz w:val="22"/>
          <w:szCs w:val="22"/>
        </w:rPr>
        <w:t xml:space="preserve"> </w:t>
      </w:r>
      <w:r>
        <w:rPr>
          <w:rFonts w:ascii="Arial" w:hAnsi="Arial" w:cs="Arial"/>
          <w:sz w:val="22"/>
          <w:szCs w:val="22"/>
        </w:rPr>
        <w:t xml:space="preserve">                 </w:t>
      </w:r>
      <w:r w:rsidRPr="001D5708">
        <w:rPr>
          <w:rFonts w:ascii="Arial" w:hAnsi="Arial" w:cs="Arial"/>
          <w:sz w:val="22"/>
          <w:szCs w:val="22"/>
        </w:rPr>
        <w:t>a Consolidated, Restated &amp; Amended Intercompany Advance Agreement (“the Agreement”) to restructure the loan into a fixed instalments payment plan within the agreed period. This follows the parent company’s unsuccessful application for a credit facility from a financial institution in Malaysia, and the fundraising efforts from external investors has been put on hold, pending the Group’s annual performance results. The Group believes that the Agreement with the parent company is important for addressing its repayment capability and will also protect the interests of the Company and its shareholders. The Agreement is expected to be executed in the first quarter of the year 2026.</w:t>
      </w:r>
    </w:p>
    <w:p w14:paraId="0A6CBFD9" w14:textId="7A4BBC88" w:rsidR="00AF6DD6" w:rsidRDefault="001D5708" w:rsidP="001D5708">
      <w:pPr>
        <w:tabs>
          <w:tab w:val="left" w:pos="3352"/>
        </w:tabs>
        <w:overflowPunct/>
        <w:autoSpaceDE/>
        <w:autoSpaceDN/>
        <w:adjustRightInd/>
        <w:spacing w:before="240" w:after="120" w:line="380" w:lineRule="exact"/>
        <w:textAlignment w:val="auto"/>
        <w:rPr>
          <w:rFonts w:ascii="Arial" w:hAnsi="Arial" w:cs="Arial"/>
          <w:sz w:val="22"/>
          <w:szCs w:val="22"/>
        </w:rPr>
      </w:pPr>
      <w:r w:rsidRPr="001D5708">
        <w:rPr>
          <w:rFonts w:ascii="Arial" w:hAnsi="Arial" w:cs="Arial"/>
          <w:sz w:val="22"/>
          <w:szCs w:val="22"/>
        </w:rPr>
        <w:lastRenderedPageBreak/>
        <w:t xml:space="preserve">Nevertheless, during the third quarter of the current year, the management of the Group assessed the recoverable amount of this loan and determined to recognize an allowance for expected credit loss amounting to MYR 39 million or equivalent to Baht 300 million in the profit </w:t>
      </w:r>
      <w:r w:rsidR="00CB5DF0">
        <w:rPr>
          <w:rFonts w:ascii="Arial" w:hAnsi="Arial" w:cs="Arial"/>
          <w:sz w:val="22"/>
          <w:szCs w:val="22"/>
        </w:rPr>
        <w:t xml:space="preserve">                                      </w:t>
      </w:r>
      <w:r w:rsidRPr="001D5708">
        <w:rPr>
          <w:rFonts w:ascii="Arial" w:hAnsi="Arial" w:cs="Arial"/>
          <w:sz w:val="22"/>
          <w:szCs w:val="22"/>
        </w:rPr>
        <w:t>or loss of the consolidated statement</w:t>
      </w:r>
      <w:r w:rsidR="00CB5DF0">
        <w:rPr>
          <w:rFonts w:ascii="Arial" w:hAnsi="Arial" w:cs="Arial"/>
          <w:sz w:val="22"/>
          <w:szCs w:val="22"/>
        </w:rPr>
        <w:t xml:space="preserve">s </w:t>
      </w:r>
      <w:r w:rsidRPr="001D5708">
        <w:rPr>
          <w:rFonts w:ascii="Arial" w:hAnsi="Arial" w:cs="Arial"/>
          <w:sz w:val="22"/>
          <w:szCs w:val="22"/>
        </w:rPr>
        <w:t>of comprehensive income for the three-month and</w:t>
      </w:r>
      <w:r w:rsidR="00CB5DF0">
        <w:rPr>
          <w:rFonts w:ascii="Arial" w:hAnsi="Arial" w:cs="Arial"/>
          <w:sz w:val="22"/>
          <w:szCs w:val="22"/>
        </w:rPr>
        <w:t xml:space="preserve">                                                   </w:t>
      </w:r>
      <w:r w:rsidRPr="001D5708">
        <w:rPr>
          <w:rFonts w:ascii="Arial" w:hAnsi="Arial" w:cs="Arial"/>
          <w:sz w:val="22"/>
          <w:szCs w:val="22"/>
        </w:rPr>
        <w:t xml:space="preserve"> nine-month periods ended 31 October 2025.</w:t>
      </w:r>
      <w:r>
        <w:rPr>
          <w:rFonts w:ascii="Arial" w:hAnsi="Arial" w:cs="Arial"/>
          <w:sz w:val="22"/>
          <w:szCs w:val="22"/>
        </w:rPr>
        <w:t xml:space="preserve"> </w:t>
      </w:r>
      <w:r w:rsidRPr="005E30C3">
        <w:rPr>
          <w:rFonts w:ascii="Arial" w:hAnsi="Arial" w:cs="Arial"/>
          <w:sz w:val="22"/>
          <w:szCs w:val="22"/>
        </w:rPr>
        <w:t>My</w:t>
      </w:r>
      <w:r>
        <w:rPr>
          <w:rFonts w:ascii="Arial" w:hAnsi="Arial" w:cs="Arial"/>
          <w:sz w:val="22"/>
          <w:szCs w:val="22"/>
        </w:rPr>
        <w:t xml:space="preserve"> </w:t>
      </w:r>
      <w:r w:rsidRPr="005E30C3">
        <w:rPr>
          <w:rFonts w:ascii="Arial" w:hAnsi="Arial" w:cs="Arial"/>
          <w:sz w:val="22"/>
          <w:szCs w:val="22"/>
        </w:rPr>
        <w:t>conclusion is not modified in respect</w:t>
      </w:r>
      <w:r w:rsidR="00CB5DF0">
        <w:rPr>
          <w:rFonts w:ascii="Arial" w:hAnsi="Arial" w:cs="Arial"/>
          <w:sz w:val="22"/>
          <w:szCs w:val="22"/>
        </w:rPr>
        <w:t xml:space="preserve">                                                        </w:t>
      </w:r>
      <w:r w:rsidRPr="005E30C3">
        <w:rPr>
          <w:rFonts w:ascii="Arial" w:hAnsi="Arial" w:cs="Arial"/>
          <w:sz w:val="22"/>
          <w:szCs w:val="22"/>
        </w:rPr>
        <w:t xml:space="preserve"> of </w:t>
      </w:r>
      <w:r w:rsidR="00F52400" w:rsidRPr="005E30C3">
        <w:rPr>
          <w:rFonts w:ascii="Arial" w:hAnsi="Arial" w:cs="Arial"/>
          <w:sz w:val="22"/>
          <w:szCs w:val="22"/>
        </w:rPr>
        <w:t>this matter</w:t>
      </w:r>
      <w:r w:rsidRPr="005E30C3">
        <w:rPr>
          <w:rFonts w:ascii="Arial" w:hAnsi="Arial" w:cs="Arial"/>
          <w:sz w:val="22"/>
          <w:szCs w:val="22"/>
        </w:rPr>
        <w:t>.</w:t>
      </w:r>
    </w:p>
    <w:bookmarkEnd w:id="0"/>
    <w:p w14:paraId="29D4AE58" w14:textId="77777777" w:rsidR="00C67C2C" w:rsidRPr="00FC1D72" w:rsidRDefault="00C67C2C" w:rsidP="00AF6DD6">
      <w:pPr>
        <w:pStyle w:val="Heading5"/>
        <w:tabs>
          <w:tab w:val="center" w:pos="6480"/>
        </w:tabs>
        <w:spacing w:before="1440" w:after="0" w:line="380" w:lineRule="exact"/>
        <w:rPr>
          <w:rFonts w:ascii="Arial" w:hAnsi="Arial"/>
          <w:cs/>
        </w:rPr>
      </w:pPr>
      <w:r w:rsidRPr="00FC1D72">
        <w:rPr>
          <w:rFonts w:ascii="Arial" w:hAnsi="Arial"/>
        </w:rPr>
        <w:t>Sirirat Sricharoensup</w:t>
      </w:r>
    </w:p>
    <w:p w14:paraId="5F312A27" w14:textId="77777777" w:rsidR="00C67C2C" w:rsidRPr="00FC1D72" w:rsidRDefault="00C67C2C" w:rsidP="00AF6DD6">
      <w:pPr>
        <w:tabs>
          <w:tab w:val="center" w:pos="6480"/>
        </w:tabs>
        <w:spacing w:line="380" w:lineRule="exact"/>
        <w:rPr>
          <w:rFonts w:ascii="Arial" w:hAnsi="Arial"/>
          <w:sz w:val="22"/>
          <w:szCs w:val="22"/>
        </w:rPr>
      </w:pPr>
      <w:r w:rsidRPr="00FC1D72">
        <w:rPr>
          <w:rFonts w:ascii="Arial" w:hAnsi="Arial"/>
          <w:sz w:val="22"/>
          <w:szCs w:val="22"/>
        </w:rPr>
        <w:t>Certified Public Accountant (Thailand) No. 5419</w:t>
      </w:r>
    </w:p>
    <w:p w14:paraId="7C2AFF3E" w14:textId="77777777" w:rsidR="00C67C2C" w:rsidRPr="00FC1D72" w:rsidRDefault="00C67C2C" w:rsidP="00AF6DD6">
      <w:pPr>
        <w:tabs>
          <w:tab w:val="center" w:pos="6480"/>
        </w:tabs>
        <w:spacing w:line="380" w:lineRule="exact"/>
        <w:jc w:val="both"/>
        <w:rPr>
          <w:rFonts w:ascii="Arial" w:hAnsi="Arial"/>
          <w:sz w:val="22"/>
          <w:szCs w:val="22"/>
        </w:rPr>
      </w:pPr>
    </w:p>
    <w:p w14:paraId="188EEF01" w14:textId="77777777" w:rsidR="00C67C2C" w:rsidRPr="00FC1D72" w:rsidRDefault="00C67C2C" w:rsidP="00AF6DD6">
      <w:pPr>
        <w:tabs>
          <w:tab w:val="left" w:pos="720"/>
          <w:tab w:val="left" w:pos="1080"/>
          <w:tab w:val="left" w:pos="2160"/>
          <w:tab w:val="right" w:pos="7200"/>
          <w:tab w:val="right" w:pos="8540"/>
        </w:tabs>
        <w:spacing w:line="380" w:lineRule="exact"/>
        <w:ind w:left="547" w:hanging="547"/>
        <w:jc w:val="thaiDistribute"/>
        <w:rPr>
          <w:rFonts w:ascii="Arial" w:hAnsi="Arial" w:cs="Arial"/>
          <w:spacing w:val="-4"/>
          <w:sz w:val="22"/>
          <w:szCs w:val="22"/>
        </w:rPr>
      </w:pPr>
      <w:r w:rsidRPr="00FC1D72">
        <w:rPr>
          <w:rFonts w:ascii="Arial" w:hAnsi="Arial" w:cs="Arial"/>
          <w:spacing w:val="-4"/>
          <w:sz w:val="22"/>
          <w:szCs w:val="22"/>
        </w:rPr>
        <w:t>EY Office Limited</w:t>
      </w:r>
    </w:p>
    <w:p w14:paraId="3E73A80B" w14:textId="54816345" w:rsidR="00C67C2C" w:rsidRPr="00FC1D72" w:rsidRDefault="00C67C2C" w:rsidP="00AF6DD6">
      <w:pPr>
        <w:pStyle w:val="Heading5"/>
        <w:spacing w:before="0" w:after="0" w:line="380" w:lineRule="exact"/>
      </w:pPr>
      <w:r w:rsidRPr="00FC1D72">
        <w:rPr>
          <w:rFonts w:ascii="Arial" w:hAnsi="Arial"/>
        </w:rPr>
        <w:t xml:space="preserve">Bangkok: </w:t>
      </w:r>
      <w:r w:rsidR="0094561C">
        <w:rPr>
          <w:rFonts w:ascii="Arial" w:hAnsi="Arial"/>
        </w:rPr>
        <w:t>15 December</w:t>
      </w:r>
      <w:r w:rsidR="00FB3CBD">
        <w:rPr>
          <w:rFonts w:ascii="Arial" w:hAnsi="Arial"/>
        </w:rPr>
        <w:t xml:space="preserve"> 2025</w:t>
      </w:r>
    </w:p>
    <w:sectPr w:rsidR="00C67C2C" w:rsidRPr="00FC1D72" w:rsidSect="00AF6DD6">
      <w:footerReference w:type="default" r:id="rId12"/>
      <w:headerReference w:type="first" r:id="rId13"/>
      <w:footerReference w:type="first" r:id="rId14"/>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8593A" w14:textId="77777777" w:rsidR="00232B90" w:rsidRDefault="00232B90" w:rsidP="00522BEC">
      <w:r>
        <w:separator/>
      </w:r>
    </w:p>
  </w:endnote>
  <w:endnote w:type="continuationSeparator" w:id="0">
    <w:p w14:paraId="156AA125" w14:textId="77777777" w:rsidR="00232B90" w:rsidRDefault="00232B90" w:rsidP="0052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35236" w14:textId="77777777" w:rsidR="00043E96" w:rsidRDefault="002D0A5C" w:rsidP="00D7350B">
    <w:pPr>
      <w:pStyle w:val="Footer"/>
      <w:framePr w:wrap="around" w:vAnchor="text" w:hAnchor="margin" w:xAlign="right" w:y="1"/>
      <w:rPr>
        <w:rStyle w:val="PageNumber"/>
      </w:rPr>
    </w:pPr>
    <w:r>
      <w:rPr>
        <w:rStyle w:val="PageNumber"/>
      </w:rPr>
      <w:fldChar w:fldCharType="begin"/>
    </w:r>
    <w:r w:rsidR="00043E96">
      <w:rPr>
        <w:rStyle w:val="PageNumber"/>
      </w:rPr>
      <w:instrText xml:space="preserve">PAGE  </w:instrText>
    </w:r>
    <w:r>
      <w:rPr>
        <w:rStyle w:val="PageNumber"/>
      </w:rPr>
      <w:fldChar w:fldCharType="separate"/>
    </w:r>
    <w:r w:rsidR="00043E96">
      <w:rPr>
        <w:rStyle w:val="PageNumber"/>
        <w:noProof/>
      </w:rPr>
      <w:t>39</w:t>
    </w:r>
    <w:r>
      <w:rPr>
        <w:rStyle w:val="PageNumber"/>
      </w:rPr>
      <w:fldChar w:fldCharType="end"/>
    </w:r>
  </w:p>
  <w:p w14:paraId="1515CD24" w14:textId="77777777" w:rsidR="00043E96" w:rsidRDefault="00043E96" w:rsidP="00D735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19ACE" w14:textId="77777777" w:rsidR="00043E96" w:rsidRPr="00F36754" w:rsidRDefault="002D0A5C">
    <w:pPr>
      <w:pStyle w:val="Footer"/>
      <w:jc w:val="right"/>
      <w:rPr>
        <w:rFonts w:ascii="Arial" w:hAnsi="Arial" w:cs="Arial"/>
        <w:sz w:val="22"/>
        <w:szCs w:val="22"/>
      </w:rPr>
    </w:pPr>
    <w:r w:rsidRPr="00F36754">
      <w:rPr>
        <w:rFonts w:ascii="Arial" w:hAnsi="Arial" w:cs="Arial"/>
        <w:sz w:val="22"/>
        <w:szCs w:val="22"/>
      </w:rPr>
      <w:fldChar w:fldCharType="begin"/>
    </w:r>
    <w:r w:rsidR="00043E96" w:rsidRPr="00F36754">
      <w:rPr>
        <w:rFonts w:ascii="Arial" w:hAnsi="Arial" w:cs="Arial"/>
        <w:sz w:val="22"/>
        <w:szCs w:val="22"/>
      </w:rPr>
      <w:instrText xml:space="preserve"> PAGE   \* MERGEFORMAT </w:instrText>
    </w:r>
    <w:r w:rsidRPr="00F36754">
      <w:rPr>
        <w:rFonts w:ascii="Arial" w:hAnsi="Arial" w:cs="Arial"/>
        <w:sz w:val="22"/>
        <w:szCs w:val="22"/>
      </w:rPr>
      <w:fldChar w:fldCharType="separate"/>
    </w:r>
    <w:r w:rsidR="00962AF9">
      <w:rPr>
        <w:rFonts w:ascii="Arial" w:hAnsi="Arial" w:cs="Arial"/>
        <w:noProof/>
        <w:sz w:val="22"/>
        <w:szCs w:val="22"/>
      </w:rPr>
      <w:t>3</w:t>
    </w:r>
    <w:r w:rsidRPr="00F36754">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152F7" w14:textId="77777777" w:rsidR="006D383B" w:rsidRPr="006D383B" w:rsidRDefault="006D383B" w:rsidP="006D383B">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35D3F" w14:textId="32BDCAD6" w:rsidR="00B16D88" w:rsidRPr="00AF6DD6" w:rsidRDefault="00B16D88" w:rsidP="00AF6D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D84D7" w14:textId="77777777" w:rsidR="00AF6DD6" w:rsidRPr="00F36754" w:rsidRDefault="00AF6DD6">
    <w:pPr>
      <w:pStyle w:val="Footer"/>
      <w:jc w:val="right"/>
      <w:rPr>
        <w:rFonts w:ascii="Arial" w:hAnsi="Arial" w:cs="Arial"/>
        <w:sz w:val="22"/>
        <w:szCs w:val="22"/>
      </w:rPr>
    </w:pPr>
    <w:r w:rsidRPr="00F36754">
      <w:rPr>
        <w:rFonts w:ascii="Arial" w:hAnsi="Arial" w:cs="Arial"/>
        <w:sz w:val="22"/>
        <w:szCs w:val="22"/>
      </w:rPr>
      <w:fldChar w:fldCharType="begin"/>
    </w:r>
    <w:r w:rsidRPr="00F36754">
      <w:rPr>
        <w:rFonts w:ascii="Arial" w:hAnsi="Arial" w:cs="Arial"/>
        <w:sz w:val="22"/>
        <w:szCs w:val="22"/>
      </w:rPr>
      <w:instrText xml:space="preserve"> PAGE   \* MERGEFORMAT </w:instrText>
    </w:r>
    <w:r w:rsidRPr="00F36754">
      <w:rPr>
        <w:rFonts w:ascii="Arial" w:hAnsi="Arial" w:cs="Arial"/>
        <w:sz w:val="22"/>
        <w:szCs w:val="22"/>
      </w:rPr>
      <w:fldChar w:fldCharType="separate"/>
    </w:r>
    <w:r>
      <w:rPr>
        <w:rFonts w:ascii="Arial" w:hAnsi="Arial" w:cs="Arial"/>
        <w:noProof/>
        <w:sz w:val="22"/>
        <w:szCs w:val="22"/>
      </w:rPr>
      <w:t>3</w:t>
    </w:r>
    <w:r w:rsidRPr="00F36754">
      <w:rPr>
        <w:rFonts w:ascii="Arial" w:hAnsi="Arial" w:cs="Arial"/>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B5A41" w14:textId="77777777" w:rsidR="00AF6DD6" w:rsidRPr="00B16D88" w:rsidRDefault="00AF6DD6" w:rsidP="00D31028">
    <w:pPr>
      <w:pStyle w:val="Footer"/>
      <w:jc w:val="right"/>
      <w:rPr>
        <w:rFonts w:ascii="Arial" w:hAnsi="Arial" w:cs="Arial"/>
        <w:sz w:val="22"/>
        <w:szCs w:val="22"/>
      </w:rPr>
    </w:pPr>
    <w:r w:rsidRPr="00B16D88">
      <w:rPr>
        <w:rFonts w:ascii="Arial" w:hAnsi="Arial" w:cs="Arial"/>
        <w:sz w:val="22"/>
        <w:szCs w:val="22"/>
        <w: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BA175" w14:textId="77777777" w:rsidR="00232B90" w:rsidRDefault="00232B90" w:rsidP="00522BEC">
      <w:r>
        <w:separator/>
      </w:r>
    </w:p>
  </w:footnote>
  <w:footnote w:type="continuationSeparator" w:id="0">
    <w:p w14:paraId="51B8F10A" w14:textId="77777777" w:rsidR="00232B90" w:rsidRDefault="00232B90" w:rsidP="0052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C5130" w14:textId="77777777" w:rsidR="00AF6DD6" w:rsidRDefault="00AF6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0FFF5C1E"/>
    <w:multiLevelType w:val="hybridMultilevel"/>
    <w:tmpl w:val="663CA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3268C"/>
    <w:multiLevelType w:val="hybridMultilevel"/>
    <w:tmpl w:val="FB324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4B1818"/>
    <w:multiLevelType w:val="hybridMultilevel"/>
    <w:tmpl w:val="465219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8EC2AF4"/>
    <w:multiLevelType w:val="hybridMultilevel"/>
    <w:tmpl w:val="0E60D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640A8F"/>
    <w:multiLevelType w:val="multilevel"/>
    <w:tmpl w:val="69508E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6331B2A"/>
    <w:multiLevelType w:val="hybridMultilevel"/>
    <w:tmpl w:val="EE442E72"/>
    <w:lvl w:ilvl="0" w:tplc="900219B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4B5439"/>
    <w:multiLevelType w:val="multilevel"/>
    <w:tmpl w:val="A86E2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4FC6031"/>
    <w:multiLevelType w:val="hybridMultilevel"/>
    <w:tmpl w:val="E2E643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B641E9B"/>
    <w:multiLevelType w:val="hybridMultilevel"/>
    <w:tmpl w:val="7FEE5ED8"/>
    <w:lvl w:ilvl="0" w:tplc="3882578A">
      <w:start w:val="1"/>
      <w:numFmt w:val="bullet"/>
      <w:lvlText w:val="-"/>
      <w:lvlJc w:val="left"/>
      <w:pPr>
        <w:ind w:left="1080" w:hanging="360"/>
      </w:pPr>
      <w:rPr>
        <w:rFonts w:ascii="Calibri" w:eastAsiaTheme="minorHAnsi" w:hAnsi="Calibri" w:cs="Calibri" w:hint="default"/>
      </w:rPr>
    </w:lvl>
    <w:lvl w:ilvl="1" w:tplc="04090019">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CD02377"/>
    <w:multiLevelType w:val="hybridMultilevel"/>
    <w:tmpl w:val="9C5637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30824842">
    <w:abstractNumId w:val="0"/>
  </w:num>
  <w:num w:numId="2" w16cid:durableId="1205019787">
    <w:abstractNumId w:val="4"/>
  </w:num>
  <w:num w:numId="3" w16cid:durableId="887297237">
    <w:abstractNumId w:val="9"/>
  </w:num>
  <w:num w:numId="4" w16cid:durableId="938369566">
    <w:abstractNumId w:val="10"/>
  </w:num>
  <w:num w:numId="5" w16cid:durableId="425659641">
    <w:abstractNumId w:val="6"/>
  </w:num>
  <w:num w:numId="6" w16cid:durableId="1816533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2893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1147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6694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60564653">
    <w:abstractNumId w:val="5"/>
  </w:num>
  <w:num w:numId="11" w16cid:durableId="37343012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394"/>
    <w:rsid w:val="00000BD4"/>
    <w:rsid w:val="000073D3"/>
    <w:rsid w:val="00012B77"/>
    <w:rsid w:val="000176D8"/>
    <w:rsid w:val="00022F91"/>
    <w:rsid w:val="00024A93"/>
    <w:rsid w:val="00031796"/>
    <w:rsid w:val="00032825"/>
    <w:rsid w:val="00042710"/>
    <w:rsid w:val="00042B04"/>
    <w:rsid w:val="00043E96"/>
    <w:rsid w:val="00044497"/>
    <w:rsid w:val="00047A81"/>
    <w:rsid w:val="00056D5F"/>
    <w:rsid w:val="00061C59"/>
    <w:rsid w:val="00064E27"/>
    <w:rsid w:val="000748E7"/>
    <w:rsid w:val="00075C1F"/>
    <w:rsid w:val="0008142F"/>
    <w:rsid w:val="00082A91"/>
    <w:rsid w:val="00085EB9"/>
    <w:rsid w:val="0008616B"/>
    <w:rsid w:val="00093B8F"/>
    <w:rsid w:val="00095A83"/>
    <w:rsid w:val="000A1523"/>
    <w:rsid w:val="000A4F28"/>
    <w:rsid w:val="000B2747"/>
    <w:rsid w:val="000C0A71"/>
    <w:rsid w:val="000C4FDA"/>
    <w:rsid w:val="000D2B1E"/>
    <w:rsid w:val="000D5988"/>
    <w:rsid w:val="000D6BEC"/>
    <w:rsid w:val="000E2AEF"/>
    <w:rsid w:val="000E3436"/>
    <w:rsid w:val="000F28F3"/>
    <w:rsid w:val="00103624"/>
    <w:rsid w:val="001063F3"/>
    <w:rsid w:val="00112A9B"/>
    <w:rsid w:val="00113989"/>
    <w:rsid w:val="00113D64"/>
    <w:rsid w:val="00130E30"/>
    <w:rsid w:val="001333BC"/>
    <w:rsid w:val="0014437C"/>
    <w:rsid w:val="00146174"/>
    <w:rsid w:val="00162136"/>
    <w:rsid w:val="00180D5F"/>
    <w:rsid w:val="001861D8"/>
    <w:rsid w:val="0018652E"/>
    <w:rsid w:val="00197CA8"/>
    <w:rsid w:val="001A350E"/>
    <w:rsid w:val="001C0481"/>
    <w:rsid w:val="001C0EAB"/>
    <w:rsid w:val="001C20CE"/>
    <w:rsid w:val="001C60E5"/>
    <w:rsid w:val="001D5708"/>
    <w:rsid w:val="001E4AA8"/>
    <w:rsid w:val="001F0979"/>
    <w:rsid w:val="001F42AA"/>
    <w:rsid w:val="001F47DC"/>
    <w:rsid w:val="001F547C"/>
    <w:rsid w:val="00200022"/>
    <w:rsid w:val="002002DA"/>
    <w:rsid w:val="0022431D"/>
    <w:rsid w:val="00227E1C"/>
    <w:rsid w:val="00230771"/>
    <w:rsid w:val="00232B90"/>
    <w:rsid w:val="00242882"/>
    <w:rsid w:val="002473B2"/>
    <w:rsid w:val="00251005"/>
    <w:rsid w:val="002525FE"/>
    <w:rsid w:val="00253274"/>
    <w:rsid w:val="00254307"/>
    <w:rsid w:val="00262CAA"/>
    <w:rsid w:val="002648A6"/>
    <w:rsid w:val="002777E7"/>
    <w:rsid w:val="00290722"/>
    <w:rsid w:val="00291B33"/>
    <w:rsid w:val="0029492D"/>
    <w:rsid w:val="002A038C"/>
    <w:rsid w:val="002A110A"/>
    <w:rsid w:val="002A61F7"/>
    <w:rsid w:val="002A660C"/>
    <w:rsid w:val="002A70BE"/>
    <w:rsid w:val="002B22EB"/>
    <w:rsid w:val="002C69E0"/>
    <w:rsid w:val="002D0053"/>
    <w:rsid w:val="002D0A5C"/>
    <w:rsid w:val="002D3E98"/>
    <w:rsid w:val="002D4028"/>
    <w:rsid w:val="002D463D"/>
    <w:rsid w:val="002D52A2"/>
    <w:rsid w:val="002D52BA"/>
    <w:rsid w:val="002D5BA2"/>
    <w:rsid w:val="002E2D8E"/>
    <w:rsid w:val="002E654E"/>
    <w:rsid w:val="002E7809"/>
    <w:rsid w:val="002F07C8"/>
    <w:rsid w:val="002F60FF"/>
    <w:rsid w:val="00301C38"/>
    <w:rsid w:val="00322779"/>
    <w:rsid w:val="00324F4B"/>
    <w:rsid w:val="00331086"/>
    <w:rsid w:val="003351E4"/>
    <w:rsid w:val="00340BED"/>
    <w:rsid w:val="0034624F"/>
    <w:rsid w:val="003472A7"/>
    <w:rsid w:val="00357AF0"/>
    <w:rsid w:val="00367B26"/>
    <w:rsid w:val="00375FEC"/>
    <w:rsid w:val="00383D8F"/>
    <w:rsid w:val="003B0BCF"/>
    <w:rsid w:val="003B1971"/>
    <w:rsid w:val="003D301F"/>
    <w:rsid w:val="003D59D9"/>
    <w:rsid w:val="003D73C0"/>
    <w:rsid w:val="003D74F6"/>
    <w:rsid w:val="003E4FB9"/>
    <w:rsid w:val="003E53A1"/>
    <w:rsid w:val="003F0305"/>
    <w:rsid w:val="003F0D85"/>
    <w:rsid w:val="003F38BD"/>
    <w:rsid w:val="003F4C34"/>
    <w:rsid w:val="003F553F"/>
    <w:rsid w:val="00405589"/>
    <w:rsid w:val="00411866"/>
    <w:rsid w:val="0041447F"/>
    <w:rsid w:val="00415AFD"/>
    <w:rsid w:val="00417B37"/>
    <w:rsid w:val="00424259"/>
    <w:rsid w:val="0042582A"/>
    <w:rsid w:val="0042677E"/>
    <w:rsid w:val="00430435"/>
    <w:rsid w:val="004426C3"/>
    <w:rsid w:val="00451DEF"/>
    <w:rsid w:val="00460AC7"/>
    <w:rsid w:val="004615EB"/>
    <w:rsid w:val="00464804"/>
    <w:rsid w:val="00477AE4"/>
    <w:rsid w:val="004852A4"/>
    <w:rsid w:val="00487211"/>
    <w:rsid w:val="004A0074"/>
    <w:rsid w:val="004A4577"/>
    <w:rsid w:val="004B4A88"/>
    <w:rsid w:val="004B7980"/>
    <w:rsid w:val="004E1F40"/>
    <w:rsid w:val="004E4AE9"/>
    <w:rsid w:val="004F1046"/>
    <w:rsid w:val="0051141B"/>
    <w:rsid w:val="00515D4D"/>
    <w:rsid w:val="005214FE"/>
    <w:rsid w:val="00522BEC"/>
    <w:rsid w:val="005276CD"/>
    <w:rsid w:val="00545241"/>
    <w:rsid w:val="00545EA7"/>
    <w:rsid w:val="00547CF1"/>
    <w:rsid w:val="00557CEA"/>
    <w:rsid w:val="00566CFF"/>
    <w:rsid w:val="0057014F"/>
    <w:rsid w:val="00582E79"/>
    <w:rsid w:val="00583CDC"/>
    <w:rsid w:val="00583E4C"/>
    <w:rsid w:val="00591B0B"/>
    <w:rsid w:val="00596048"/>
    <w:rsid w:val="005A5436"/>
    <w:rsid w:val="005A73F2"/>
    <w:rsid w:val="005B4A12"/>
    <w:rsid w:val="005C567A"/>
    <w:rsid w:val="005D61EA"/>
    <w:rsid w:val="005E1613"/>
    <w:rsid w:val="005E1D5D"/>
    <w:rsid w:val="005E30C3"/>
    <w:rsid w:val="005E7F40"/>
    <w:rsid w:val="005F195D"/>
    <w:rsid w:val="005F2343"/>
    <w:rsid w:val="005F7F3C"/>
    <w:rsid w:val="0060152D"/>
    <w:rsid w:val="00612584"/>
    <w:rsid w:val="00615BDD"/>
    <w:rsid w:val="00630401"/>
    <w:rsid w:val="00641B3B"/>
    <w:rsid w:val="00647163"/>
    <w:rsid w:val="0065077D"/>
    <w:rsid w:val="00650E14"/>
    <w:rsid w:val="00652D93"/>
    <w:rsid w:val="00661472"/>
    <w:rsid w:val="006629B6"/>
    <w:rsid w:val="00672C9E"/>
    <w:rsid w:val="00676B2A"/>
    <w:rsid w:val="00680114"/>
    <w:rsid w:val="00683A39"/>
    <w:rsid w:val="0068768C"/>
    <w:rsid w:val="00692CBB"/>
    <w:rsid w:val="0069344F"/>
    <w:rsid w:val="00693C67"/>
    <w:rsid w:val="00694214"/>
    <w:rsid w:val="00697673"/>
    <w:rsid w:val="006A149A"/>
    <w:rsid w:val="006A32C6"/>
    <w:rsid w:val="006A542E"/>
    <w:rsid w:val="006B647B"/>
    <w:rsid w:val="006C1A55"/>
    <w:rsid w:val="006C56CB"/>
    <w:rsid w:val="006D02A8"/>
    <w:rsid w:val="006D0FDA"/>
    <w:rsid w:val="006D383B"/>
    <w:rsid w:val="006E070D"/>
    <w:rsid w:val="006E5B18"/>
    <w:rsid w:val="006F39D8"/>
    <w:rsid w:val="006F5C7D"/>
    <w:rsid w:val="0070058A"/>
    <w:rsid w:val="00702B31"/>
    <w:rsid w:val="00704549"/>
    <w:rsid w:val="00713B01"/>
    <w:rsid w:val="0072664E"/>
    <w:rsid w:val="00733F99"/>
    <w:rsid w:val="00746C15"/>
    <w:rsid w:val="00750329"/>
    <w:rsid w:val="00760A7A"/>
    <w:rsid w:val="0076580B"/>
    <w:rsid w:val="00766382"/>
    <w:rsid w:val="007770C1"/>
    <w:rsid w:val="007833E8"/>
    <w:rsid w:val="007843F2"/>
    <w:rsid w:val="0078684F"/>
    <w:rsid w:val="007A1846"/>
    <w:rsid w:val="007A77C6"/>
    <w:rsid w:val="007B03BD"/>
    <w:rsid w:val="007B14E9"/>
    <w:rsid w:val="007B2C76"/>
    <w:rsid w:val="007B355C"/>
    <w:rsid w:val="007B4455"/>
    <w:rsid w:val="007B78AA"/>
    <w:rsid w:val="007C4E6B"/>
    <w:rsid w:val="007C6D37"/>
    <w:rsid w:val="007D32BA"/>
    <w:rsid w:val="007D5B9F"/>
    <w:rsid w:val="007E02CB"/>
    <w:rsid w:val="007E47CB"/>
    <w:rsid w:val="007E6DC3"/>
    <w:rsid w:val="007F7AB0"/>
    <w:rsid w:val="00801ABE"/>
    <w:rsid w:val="00806CB6"/>
    <w:rsid w:val="00807BD4"/>
    <w:rsid w:val="00811D59"/>
    <w:rsid w:val="00822366"/>
    <w:rsid w:val="00823018"/>
    <w:rsid w:val="00832498"/>
    <w:rsid w:val="00842080"/>
    <w:rsid w:val="00843185"/>
    <w:rsid w:val="0084346C"/>
    <w:rsid w:val="008544FF"/>
    <w:rsid w:val="00854619"/>
    <w:rsid w:val="00862D1D"/>
    <w:rsid w:val="00863D95"/>
    <w:rsid w:val="00870A32"/>
    <w:rsid w:val="00873882"/>
    <w:rsid w:val="00880CC3"/>
    <w:rsid w:val="0088137E"/>
    <w:rsid w:val="00896BCD"/>
    <w:rsid w:val="00896DA2"/>
    <w:rsid w:val="00896FA5"/>
    <w:rsid w:val="00897652"/>
    <w:rsid w:val="008A0513"/>
    <w:rsid w:val="008B27CF"/>
    <w:rsid w:val="008B2892"/>
    <w:rsid w:val="008B6A06"/>
    <w:rsid w:val="008C2AD4"/>
    <w:rsid w:val="008C50E0"/>
    <w:rsid w:val="008D6172"/>
    <w:rsid w:val="008D7BB9"/>
    <w:rsid w:val="008E057E"/>
    <w:rsid w:val="008E09CC"/>
    <w:rsid w:val="008E33AD"/>
    <w:rsid w:val="008F69C6"/>
    <w:rsid w:val="00900C58"/>
    <w:rsid w:val="00903AA0"/>
    <w:rsid w:val="00906434"/>
    <w:rsid w:val="00907AD8"/>
    <w:rsid w:val="009101B8"/>
    <w:rsid w:val="00917621"/>
    <w:rsid w:val="00922C20"/>
    <w:rsid w:val="009237CD"/>
    <w:rsid w:val="0093413E"/>
    <w:rsid w:val="0094231E"/>
    <w:rsid w:val="00942D73"/>
    <w:rsid w:val="00945477"/>
    <w:rsid w:val="0094561C"/>
    <w:rsid w:val="0095016E"/>
    <w:rsid w:val="009561C0"/>
    <w:rsid w:val="009564F3"/>
    <w:rsid w:val="00962AF9"/>
    <w:rsid w:val="00986154"/>
    <w:rsid w:val="0098647E"/>
    <w:rsid w:val="00986BF5"/>
    <w:rsid w:val="009912B0"/>
    <w:rsid w:val="00995576"/>
    <w:rsid w:val="0099721F"/>
    <w:rsid w:val="009A3573"/>
    <w:rsid w:val="009A36F8"/>
    <w:rsid w:val="009A5646"/>
    <w:rsid w:val="009B7825"/>
    <w:rsid w:val="009C1DAD"/>
    <w:rsid w:val="009C79C1"/>
    <w:rsid w:val="009D008F"/>
    <w:rsid w:val="009D1562"/>
    <w:rsid w:val="009D5E81"/>
    <w:rsid w:val="009D7BB5"/>
    <w:rsid w:val="009E4799"/>
    <w:rsid w:val="00A073E1"/>
    <w:rsid w:val="00A133D0"/>
    <w:rsid w:val="00A143E7"/>
    <w:rsid w:val="00A22614"/>
    <w:rsid w:val="00A32321"/>
    <w:rsid w:val="00A43302"/>
    <w:rsid w:val="00A52736"/>
    <w:rsid w:val="00A61F7D"/>
    <w:rsid w:val="00A842D6"/>
    <w:rsid w:val="00A854EC"/>
    <w:rsid w:val="00A87C80"/>
    <w:rsid w:val="00A934AD"/>
    <w:rsid w:val="00AA1A87"/>
    <w:rsid w:val="00AA2544"/>
    <w:rsid w:val="00AA35E3"/>
    <w:rsid w:val="00AB0F3E"/>
    <w:rsid w:val="00AB6BD4"/>
    <w:rsid w:val="00AC001F"/>
    <w:rsid w:val="00AE2AA8"/>
    <w:rsid w:val="00AF1DAA"/>
    <w:rsid w:val="00AF4667"/>
    <w:rsid w:val="00AF6DD6"/>
    <w:rsid w:val="00B064C2"/>
    <w:rsid w:val="00B15C47"/>
    <w:rsid w:val="00B16D88"/>
    <w:rsid w:val="00B247B0"/>
    <w:rsid w:val="00B270D5"/>
    <w:rsid w:val="00B32D85"/>
    <w:rsid w:val="00B34D4C"/>
    <w:rsid w:val="00B405AA"/>
    <w:rsid w:val="00B40867"/>
    <w:rsid w:val="00B4360C"/>
    <w:rsid w:val="00B67860"/>
    <w:rsid w:val="00B71840"/>
    <w:rsid w:val="00B812D5"/>
    <w:rsid w:val="00B865E5"/>
    <w:rsid w:val="00B8687C"/>
    <w:rsid w:val="00B95C74"/>
    <w:rsid w:val="00B97D53"/>
    <w:rsid w:val="00BA18E4"/>
    <w:rsid w:val="00BA4ABF"/>
    <w:rsid w:val="00BB019D"/>
    <w:rsid w:val="00BB5F2E"/>
    <w:rsid w:val="00BB7DDB"/>
    <w:rsid w:val="00BC02E4"/>
    <w:rsid w:val="00BC1A9D"/>
    <w:rsid w:val="00BE0E64"/>
    <w:rsid w:val="00BE1AD5"/>
    <w:rsid w:val="00BE3271"/>
    <w:rsid w:val="00BE72B4"/>
    <w:rsid w:val="00BE7B6E"/>
    <w:rsid w:val="00BF33D4"/>
    <w:rsid w:val="00BF629A"/>
    <w:rsid w:val="00C00EB7"/>
    <w:rsid w:val="00C10E3B"/>
    <w:rsid w:val="00C12EAC"/>
    <w:rsid w:val="00C13AED"/>
    <w:rsid w:val="00C150AC"/>
    <w:rsid w:val="00C15CED"/>
    <w:rsid w:val="00C274DF"/>
    <w:rsid w:val="00C44E65"/>
    <w:rsid w:val="00C51EAD"/>
    <w:rsid w:val="00C536DD"/>
    <w:rsid w:val="00C54674"/>
    <w:rsid w:val="00C60259"/>
    <w:rsid w:val="00C62013"/>
    <w:rsid w:val="00C6498A"/>
    <w:rsid w:val="00C65927"/>
    <w:rsid w:val="00C67C2C"/>
    <w:rsid w:val="00C752D4"/>
    <w:rsid w:val="00C82A8B"/>
    <w:rsid w:val="00C853F7"/>
    <w:rsid w:val="00C86839"/>
    <w:rsid w:val="00C96CE3"/>
    <w:rsid w:val="00C96D2D"/>
    <w:rsid w:val="00CA0670"/>
    <w:rsid w:val="00CA133D"/>
    <w:rsid w:val="00CA4DCD"/>
    <w:rsid w:val="00CB1BD6"/>
    <w:rsid w:val="00CB4B46"/>
    <w:rsid w:val="00CB5DF0"/>
    <w:rsid w:val="00CC4760"/>
    <w:rsid w:val="00CE3EDD"/>
    <w:rsid w:val="00CE53AC"/>
    <w:rsid w:val="00CF16B3"/>
    <w:rsid w:val="00CF274C"/>
    <w:rsid w:val="00D15314"/>
    <w:rsid w:val="00D240CE"/>
    <w:rsid w:val="00D30BB3"/>
    <w:rsid w:val="00D31028"/>
    <w:rsid w:val="00D311FD"/>
    <w:rsid w:val="00D45F14"/>
    <w:rsid w:val="00D45FE5"/>
    <w:rsid w:val="00D5661F"/>
    <w:rsid w:val="00D64F85"/>
    <w:rsid w:val="00D7172F"/>
    <w:rsid w:val="00D71D17"/>
    <w:rsid w:val="00D7350B"/>
    <w:rsid w:val="00D7351F"/>
    <w:rsid w:val="00D73E24"/>
    <w:rsid w:val="00D87057"/>
    <w:rsid w:val="00DA0C23"/>
    <w:rsid w:val="00DA5024"/>
    <w:rsid w:val="00DA502C"/>
    <w:rsid w:val="00DA5162"/>
    <w:rsid w:val="00DA5A84"/>
    <w:rsid w:val="00DB2BE7"/>
    <w:rsid w:val="00DC32A6"/>
    <w:rsid w:val="00DC74E8"/>
    <w:rsid w:val="00DD54DA"/>
    <w:rsid w:val="00DD78BD"/>
    <w:rsid w:val="00DE1867"/>
    <w:rsid w:val="00DE1EFE"/>
    <w:rsid w:val="00DF2D2B"/>
    <w:rsid w:val="00DF462F"/>
    <w:rsid w:val="00DF6EBB"/>
    <w:rsid w:val="00E02BE5"/>
    <w:rsid w:val="00E1717B"/>
    <w:rsid w:val="00E345D4"/>
    <w:rsid w:val="00E359D9"/>
    <w:rsid w:val="00E40810"/>
    <w:rsid w:val="00E41AFB"/>
    <w:rsid w:val="00E42D01"/>
    <w:rsid w:val="00E45CF0"/>
    <w:rsid w:val="00E47BE7"/>
    <w:rsid w:val="00E51396"/>
    <w:rsid w:val="00E55394"/>
    <w:rsid w:val="00E63CC7"/>
    <w:rsid w:val="00E71450"/>
    <w:rsid w:val="00E71A69"/>
    <w:rsid w:val="00E74B1C"/>
    <w:rsid w:val="00E74FC2"/>
    <w:rsid w:val="00E77A2F"/>
    <w:rsid w:val="00E92961"/>
    <w:rsid w:val="00EA2370"/>
    <w:rsid w:val="00EA5C18"/>
    <w:rsid w:val="00EB701A"/>
    <w:rsid w:val="00EC290E"/>
    <w:rsid w:val="00EC76BF"/>
    <w:rsid w:val="00ED18A9"/>
    <w:rsid w:val="00EE4F95"/>
    <w:rsid w:val="00EF42AC"/>
    <w:rsid w:val="00EF4B03"/>
    <w:rsid w:val="00EF6D73"/>
    <w:rsid w:val="00F004E0"/>
    <w:rsid w:val="00F01756"/>
    <w:rsid w:val="00F06BD4"/>
    <w:rsid w:val="00F151A0"/>
    <w:rsid w:val="00F16368"/>
    <w:rsid w:val="00F47171"/>
    <w:rsid w:val="00F51C9F"/>
    <w:rsid w:val="00F52400"/>
    <w:rsid w:val="00F725DD"/>
    <w:rsid w:val="00F726B9"/>
    <w:rsid w:val="00F86173"/>
    <w:rsid w:val="00FA3459"/>
    <w:rsid w:val="00FB3CBD"/>
    <w:rsid w:val="00FB6812"/>
    <w:rsid w:val="00FC0712"/>
    <w:rsid w:val="00FC1D72"/>
    <w:rsid w:val="00FC3D89"/>
    <w:rsid w:val="00FD2BF5"/>
    <w:rsid w:val="00FE017A"/>
    <w:rsid w:val="00FE4670"/>
    <w:rsid w:val="00FE6F11"/>
    <w:rsid w:val="00FE7CB5"/>
    <w:rsid w:val="00FE7DDB"/>
    <w:rsid w:val="00FF4980"/>
    <w:rsid w:val="00FF4DDB"/>
    <w:rsid w:val="00FF511C"/>
    <w:rsid w:val="00FF63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99B96"/>
  <w15:docId w15:val="{B02E1729-CB00-43E2-B162-3D96DF0B0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394"/>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55394"/>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E55394"/>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55394"/>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link w:val="Heading5Char"/>
    <w:qFormat/>
    <w:rsid w:val="00E55394"/>
    <w:pPr>
      <w:spacing w:before="240" w:after="60"/>
      <w:outlineLvl w:val="4"/>
    </w:pPr>
    <w:rPr>
      <w:sz w:val="22"/>
      <w:szCs w:val="22"/>
    </w:rPr>
  </w:style>
  <w:style w:type="paragraph" w:styleId="Heading6">
    <w:name w:val="heading 6"/>
    <w:basedOn w:val="Normal"/>
    <w:next w:val="Normal"/>
    <w:link w:val="Heading6Char"/>
    <w:qFormat/>
    <w:rsid w:val="00E55394"/>
    <w:pPr>
      <w:spacing w:before="240" w:after="60"/>
      <w:outlineLvl w:val="5"/>
    </w:pPr>
    <w:rPr>
      <w:rFonts w:hAnsi="Times New Roman"/>
      <w:b/>
      <w:bCs/>
      <w:sz w:val="22"/>
      <w:szCs w:val="22"/>
    </w:rPr>
  </w:style>
  <w:style w:type="paragraph" w:styleId="Heading8">
    <w:name w:val="heading 8"/>
    <w:basedOn w:val="Normal"/>
    <w:next w:val="Normal"/>
    <w:link w:val="Heading8Char"/>
    <w:qFormat/>
    <w:rsid w:val="00E55394"/>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5394"/>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E55394"/>
    <w:rPr>
      <w:rFonts w:ascii="Arial" w:eastAsia="Times New Roman" w:hAnsi="Arial" w:cs="Angsana New"/>
      <w:b/>
      <w:bCs/>
      <w:i/>
      <w:iCs/>
      <w:sz w:val="28"/>
    </w:rPr>
  </w:style>
  <w:style w:type="character" w:customStyle="1" w:styleId="Heading3Char">
    <w:name w:val="Heading 3 Char"/>
    <w:basedOn w:val="DefaultParagraphFont"/>
    <w:link w:val="Heading3"/>
    <w:rsid w:val="00E55394"/>
    <w:rPr>
      <w:rFonts w:ascii="Angsana New" w:eastAsia="SimSun" w:hAnsi="Angsana New" w:cs="Angsana New"/>
      <w:sz w:val="32"/>
      <w:szCs w:val="32"/>
      <w:u w:val="single"/>
    </w:rPr>
  </w:style>
  <w:style w:type="character" w:customStyle="1" w:styleId="Heading5Char">
    <w:name w:val="Heading 5 Char"/>
    <w:basedOn w:val="DefaultParagraphFont"/>
    <w:link w:val="Heading5"/>
    <w:rsid w:val="00E55394"/>
    <w:rPr>
      <w:rFonts w:ascii="Times New Roman" w:eastAsia="Times New Roman" w:hAnsi="Tms Rmn" w:cs="Angsana New"/>
      <w:szCs w:val="22"/>
    </w:rPr>
  </w:style>
  <w:style w:type="character" w:customStyle="1" w:styleId="Heading6Char">
    <w:name w:val="Heading 6 Char"/>
    <w:basedOn w:val="DefaultParagraphFont"/>
    <w:link w:val="Heading6"/>
    <w:rsid w:val="00E55394"/>
    <w:rPr>
      <w:rFonts w:ascii="Times New Roman" w:eastAsia="Times New Roman" w:hAnsi="Times New Roman" w:cs="Angsana New"/>
      <w:b/>
      <w:bCs/>
      <w:szCs w:val="22"/>
    </w:rPr>
  </w:style>
  <w:style w:type="character" w:customStyle="1" w:styleId="Heading8Char">
    <w:name w:val="Heading 8 Char"/>
    <w:basedOn w:val="DefaultParagraphFont"/>
    <w:link w:val="Heading8"/>
    <w:rsid w:val="00E55394"/>
    <w:rPr>
      <w:rFonts w:ascii="Times New Roman" w:eastAsia="Times New Roman" w:hAnsi="Times New Roman" w:cs="Angsana New"/>
      <w:i/>
      <w:iCs/>
      <w:sz w:val="24"/>
      <w:szCs w:val="24"/>
    </w:rPr>
  </w:style>
  <w:style w:type="paragraph" w:styleId="BodyTextIndent">
    <w:name w:val="Body Text Indent"/>
    <w:basedOn w:val="Normal"/>
    <w:link w:val="BodyTextIndentChar"/>
    <w:rsid w:val="00E55394"/>
    <w:pPr>
      <w:spacing w:after="120"/>
      <w:ind w:left="360"/>
    </w:pPr>
  </w:style>
  <w:style w:type="character" w:customStyle="1" w:styleId="BodyTextIndentChar">
    <w:name w:val="Body Text Indent Char"/>
    <w:basedOn w:val="DefaultParagraphFont"/>
    <w:link w:val="BodyTextIndent"/>
    <w:rsid w:val="00E55394"/>
    <w:rPr>
      <w:rFonts w:ascii="Times New Roman" w:eastAsia="Times New Roman" w:hAnsi="Tms Rmn" w:cs="Angsana New"/>
      <w:sz w:val="24"/>
      <w:szCs w:val="24"/>
    </w:rPr>
  </w:style>
  <w:style w:type="paragraph" w:styleId="Footer">
    <w:name w:val="footer"/>
    <w:basedOn w:val="Normal"/>
    <w:link w:val="FooterChar"/>
    <w:uiPriority w:val="99"/>
    <w:rsid w:val="00E55394"/>
    <w:pPr>
      <w:tabs>
        <w:tab w:val="center" w:pos="4153"/>
        <w:tab w:val="right" w:pos="8306"/>
      </w:tabs>
    </w:pPr>
  </w:style>
  <w:style w:type="character" w:customStyle="1" w:styleId="FooterChar">
    <w:name w:val="Footer Char"/>
    <w:basedOn w:val="DefaultParagraphFont"/>
    <w:link w:val="Footer"/>
    <w:uiPriority w:val="99"/>
    <w:rsid w:val="00E55394"/>
    <w:rPr>
      <w:rFonts w:ascii="Times New Roman" w:eastAsia="Times New Roman" w:hAnsi="Tms Rmn" w:cs="Angsana New"/>
      <w:sz w:val="24"/>
      <w:szCs w:val="24"/>
    </w:rPr>
  </w:style>
  <w:style w:type="paragraph" w:styleId="CommentText">
    <w:name w:val="annotation text"/>
    <w:basedOn w:val="Normal"/>
    <w:link w:val="CommentTextChar"/>
    <w:semiHidden/>
    <w:rsid w:val="00E55394"/>
    <w:rPr>
      <w:sz w:val="20"/>
      <w:szCs w:val="20"/>
    </w:rPr>
  </w:style>
  <w:style w:type="character" w:customStyle="1" w:styleId="CommentTextChar">
    <w:name w:val="Comment Text Char"/>
    <w:basedOn w:val="DefaultParagraphFont"/>
    <w:link w:val="CommentText"/>
    <w:semiHidden/>
    <w:rsid w:val="00E55394"/>
    <w:rPr>
      <w:rFonts w:ascii="Times New Roman" w:eastAsia="Times New Roman" w:hAnsi="Tms Rmn" w:cs="Angsana New"/>
      <w:sz w:val="20"/>
      <w:szCs w:val="20"/>
    </w:rPr>
  </w:style>
  <w:style w:type="paragraph" w:styleId="BodyTextIndent2">
    <w:name w:val="Body Text Indent 2"/>
    <w:basedOn w:val="Normal"/>
    <w:link w:val="BodyTextIndent2Char"/>
    <w:rsid w:val="00E55394"/>
    <w:pPr>
      <w:spacing w:before="120" w:after="120" w:line="380" w:lineRule="exact"/>
      <w:ind w:left="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E55394"/>
    <w:rPr>
      <w:rFonts w:ascii="Angsana New" w:eastAsia="Times New Roman" w:hAnsi="Angsana New" w:cs="Angsana New"/>
      <w:sz w:val="30"/>
      <w:szCs w:val="30"/>
    </w:rPr>
  </w:style>
  <w:style w:type="paragraph" w:styleId="Caption">
    <w:name w:val="caption"/>
    <w:basedOn w:val="Normal"/>
    <w:next w:val="Normal"/>
    <w:qFormat/>
    <w:rsid w:val="00E55394"/>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E55394"/>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E55394"/>
    <w:pPr>
      <w:tabs>
        <w:tab w:val="left" w:pos="720"/>
      </w:tabs>
      <w:spacing w:before="120" w:after="120" w:line="380" w:lineRule="exact"/>
      <w:ind w:right="-43"/>
      <w:jc w:val="both"/>
    </w:pPr>
    <w:rPr>
      <w:rFonts w:ascii="Angsana New" w:hAnsi="Angsana New"/>
      <w:sz w:val="32"/>
      <w:szCs w:val="32"/>
    </w:rPr>
  </w:style>
  <w:style w:type="character" w:customStyle="1" w:styleId="BodyText2Char">
    <w:name w:val="Body Text 2 Char"/>
    <w:basedOn w:val="DefaultParagraphFont"/>
    <w:link w:val="BodyText2"/>
    <w:rsid w:val="00E55394"/>
    <w:rPr>
      <w:rFonts w:ascii="Angsana New" w:eastAsia="Times New Roman" w:hAnsi="Angsana New" w:cs="Angsana New"/>
      <w:sz w:val="32"/>
      <w:szCs w:val="32"/>
    </w:rPr>
  </w:style>
  <w:style w:type="character" w:styleId="PageNumber">
    <w:name w:val="page number"/>
    <w:basedOn w:val="DefaultParagraphFont"/>
    <w:rsid w:val="00E55394"/>
  </w:style>
  <w:style w:type="paragraph" w:styleId="Header">
    <w:name w:val="header"/>
    <w:basedOn w:val="Normal"/>
    <w:link w:val="HeaderChar"/>
    <w:rsid w:val="00E55394"/>
    <w:pPr>
      <w:tabs>
        <w:tab w:val="center" w:pos="4153"/>
        <w:tab w:val="right" w:pos="8306"/>
      </w:tabs>
    </w:pPr>
  </w:style>
  <w:style w:type="character" w:customStyle="1" w:styleId="HeaderChar">
    <w:name w:val="Header Char"/>
    <w:basedOn w:val="DefaultParagraphFont"/>
    <w:link w:val="Header"/>
    <w:rsid w:val="00E55394"/>
    <w:rPr>
      <w:rFonts w:ascii="Times New Roman" w:eastAsia="Times New Roman" w:hAnsi="Tms Rmn" w:cs="Angsana New"/>
      <w:sz w:val="24"/>
      <w:szCs w:val="24"/>
    </w:rPr>
  </w:style>
  <w:style w:type="paragraph" w:styleId="BalloonText">
    <w:name w:val="Balloon Text"/>
    <w:basedOn w:val="Normal"/>
    <w:link w:val="BalloonTextChar"/>
    <w:semiHidden/>
    <w:rsid w:val="00E55394"/>
    <w:rPr>
      <w:rFonts w:ascii="Tahoma" w:hAnsi="Tahoma" w:cs="Tahoma"/>
      <w:sz w:val="16"/>
      <w:szCs w:val="16"/>
    </w:rPr>
  </w:style>
  <w:style w:type="character" w:customStyle="1" w:styleId="BalloonTextChar">
    <w:name w:val="Balloon Text Char"/>
    <w:basedOn w:val="DefaultParagraphFont"/>
    <w:link w:val="BalloonText"/>
    <w:semiHidden/>
    <w:rsid w:val="00E55394"/>
    <w:rPr>
      <w:rFonts w:ascii="Tahoma" w:eastAsia="Times New Roman" w:hAnsi="Tahoma" w:cs="Tahoma"/>
      <w:sz w:val="16"/>
      <w:szCs w:val="16"/>
    </w:rPr>
  </w:style>
  <w:style w:type="paragraph" w:customStyle="1" w:styleId="Char">
    <w:name w:val="Char"/>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E55394"/>
    <w:pPr>
      <w:ind w:left="360" w:hanging="360"/>
    </w:pPr>
  </w:style>
  <w:style w:type="table" w:styleId="TableGrid">
    <w:name w:val="Table Grid"/>
    <w:basedOn w:val="TableNormal"/>
    <w:uiPriority w:val="39"/>
    <w:rsid w:val="00E55394"/>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5394"/>
    <w:rPr>
      <w:rFonts w:eastAsia="SimSun" w:hAnsi="CordiaUPC"/>
      <w:sz w:val="20"/>
      <w:szCs w:val="20"/>
    </w:rPr>
  </w:style>
  <w:style w:type="character" w:customStyle="1" w:styleId="FootnoteTextChar">
    <w:name w:val="Footnote Text Char"/>
    <w:basedOn w:val="DefaultParagraphFont"/>
    <w:link w:val="FootnoteText"/>
    <w:semiHidden/>
    <w:rsid w:val="00E55394"/>
    <w:rPr>
      <w:rFonts w:ascii="Times New Roman" w:eastAsia="SimSun" w:hAnsi="CordiaUPC" w:cs="Angsana New"/>
      <w:sz w:val="20"/>
      <w:szCs w:val="20"/>
    </w:rPr>
  </w:style>
  <w:style w:type="paragraph" w:styleId="ListBullet">
    <w:name w:val="List Bullet"/>
    <w:basedOn w:val="Normal"/>
    <w:autoRedefine/>
    <w:rsid w:val="00E55394"/>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0">
    <w:name w:val="Char"/>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E5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E55394"/>
    <w:rPr>
      <w:rFonts w:ascii="Courier New" w:eastAsia="Times New Roman" w:hAnsi="Courier New" w:cs="Courier New"/>
      <w:sz w:val="20"/>
      <w:szCs w:val="20"/>
    </w:rPr>
  </w:style>
  <w:style w:type="paragraph" w:styleId="ListNumber3">
    <w:name w:val="List Number 3"/>
    <w:basedOn w:val="Normal"/>
    <w:rsid w:val="00E55394"/>
    <w:pPr>
      <w:numPr>
        <w:numId w:val="1"/>
      </w:numPr>
    </w:pPr>
    <w:rPr>
      <w:szCs w:val="28"/>
    </w:rPr>
  </w:style>
  <w:style w:type="paragraph" w:customStyle="1" w:styleId="a">
    <w:name w:val="อักขระ"/>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E55394"/>
    <w:pPr>
      <w:tabs>
        <w:tab w:val="num" w:pos="1492"/>
      </w:tabs>
      <w:ind w:left="1492" w:hanging="360"/>
    </w:pPr>
    <w:rPr>
      <w:rFonts w:eastAsia="SimSun" w:hAnsi="CordiaUPC"/>
      <w:szCs w:val="28"/>
    </w:rPr>
  </w:style>
  <w:style w:type="paragraph" w:customStyle="1" w:styleId="1">
    <w:name w:val="เนื้อเรื่อง1"/>
    <w:basedOn w:val="Normal"/>
    <w:rsid w:val="00E55394"/>
    <w:pPr>
      <w:widowControl w:val="0"/>
      <w:ind w:right="386"/>
    </w:pPr>
    <w:rPr>
      <w:rFonts w:hAnsi="CordiaUPC" w:cs="CordiaUPC"/>
      <w:color w:val="800080"/>
      <w:sz w:val="28"/>
      <w:szCs w:val="28"/>
    </w:rPr>
  </w:style>
  <w:style w:type="paragraph" w:styleId="ListParagraph">
    <w:name w:val="List Paragraph"/>
    <w:basedOn w:val="Normal"/>
    <w:uiPriority w:val="34"/>
    <w:qFormat/>
    <w:rsid w:val="00E55394"/>
    <w:pPr>
      <w:overflowPunct/>
      <w:autoSpaceDE/>
      <w:autoSpaceDN/>
      <w:adjustRightInd/>
      <w:ind w:left="720"/>
      <w:contextualSpacing/>
      <w:textAlignment w:val="auto"/>
    </w:pPr>
    <w:rPr>
      <w:rFonts w:eastAsia="SimSun" w:hAnsi="Times New Roman"/>
      <w:szCs w:val="28"/>
    </w:rPr>
  </w:style>
  <w:style w:type="paragraph" w:styleId="BodyTextIndent3">
    <w:name w:val="Body Text Indent 3"/>
    <w:basedOn w:val="Normal"/>
    <w:link w:val="BodyTextIndent3Char"/>
    <w:uiPriority w:val="99"/>
    <w:rsid w:val="00E55394"/>
    <w:pPr>
      <w:spacing w:after="120"/>
      <w:ind w:left="283"/>
    </w:pPr>
    <w:rPr>
      <w:sz w:val="16"/>
      <w:szCs w:val="20"/>
    </w:rPr>
  </w:style>
  <w:style w:type="character" w:customStyle="1" w:styleId="BodyTextIndent3Char">
    <w:name w:val="Body Text Indent 3 Char"/>
    <w:basedOn w:val="DefaultParagraphFont"/>
    <w:link w:val="BodyTextIndent3"/>
    <w:uiPriority w:val="99"/>
    <w:rsid w:val="00E55394"/>
    <w:rPr>
      <w:rFonts w:ascii="Times New Roman" w:eastAsia="Times New Roman" w:hAnsi="Tms Rmn" w:cs="Angsana New"/>
      <w:sz w:val="16"/>
      <w:szCs w:val="20"/>
    </w:rPr>
  </w:style>
  <w:style w:type="paragraph" w:customStyle="1" w:styleId="ps-000-normal">
    <w:name w:val="ps-000-normal"/>
    <w:basedOn w:val="Normal"/>
    <w:rsid w:val="00043E96"/>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C15CED"/>
    <w:pPr>
      <w:widowControl w:val="0"/>
      <w:overflowPunct/>
      <w:textAlignment w:val="auto"/>
    </w:pPr>
    <w:rPr>
      <w:rFonts w:asciiTheme="minorHAnsi" w:eastAsiaTheme="minorEastAsia" w:hAnsiTheme="minorHAnsi" w:cs="EucrosiaUPC"/>
    </w:rPr>
  </w:style>
  <w:style w:type="paragraph" w:customStyle="1" w:styleId="Default">
    <w:name w:val="Default"/>
    <w:rsid w:val="000D6BEC"/>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7430354">
      <w:bodyDiv w:val="1"/>
      <w:marLeft w:val="0"/>
      <w:marRight w:val="0"/>
      <w:marTop w:val="0"/>
      <w:marBottom w:val="0"/>
      <w:divBdr>
        <w:top w:val="none" w:sz="0" w:space="0" w:color="auto"/>
        <w:left w:val="none" w:sz="0" w:space="0" w:color="auto"/>
        <w:bottom w:val="none" w:sz="0" w:space="0" w:color="auto"/>
        <w:right w:val="none" w:sz="0" w:space="0" w:color="auto"/>
      </w:divBdr>
    </w:div>
    <w:div w:id="1431388295">
      <w:bodyDiv w:val="1"/>
      <w:marLeft w:val="0"/>
      <w:marRight w:val="0"/>
      <w:marTop w:val="0"/>
      <w:marBottom w:val="0"/>
      <w:divBdr>
        <w:top w:val="none" w:sz="0" w:space="0" w:color="auto"/>
        <w:left w:val="none" w:sz="0" w:space="0" w:color="auto"/>
        <w:bottom w:val="none" w:sz="0" w:space="0" w:color="auto"/>
        <w:right w:val="none" w:sz="0" w:space="0" w:color="auto"/>
      </w:divBdr>
    </w:div>
    <w:div w:id="1781414775">
      <w:bodyDiv w:val="1"/>
      <w:marLeft w:val="0"/>
      <w:marRight w:val="0"/>
      <w:marTop w:val="0"/>
      <w:marBottom w:val="0"/>
      <w:divBdr>
        <w:top w:val="none" w:sz="0" w:space="0" w:color="auto"/>
        <w:left w:val="none" w:sz="0" w:space="0" w:color="auto"/>
        <w:bottom w:val="none" w:sz="0" w:space="0" w:color="auto"/>
        <w:right w:val="none" w:sz="0" w:space="0" w:color="auto"/>
      </w:divBdr>
    </w:div>
    <w:div w:id="211905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55E1F-D62A-4DEE-9345-81A6886B0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Pornpan Klaysukpong</cp:lastModifiedBy>
  <cp:revision>6</cp:revision>
  <cp:lastPrinted>2025-12-12T11:53:00Z</cp:lastPrinted>
  <dcterms:created xsi:type="dcterms:W3CDTF">2025-12-11T19:00:00Z</dcterms:created>
  <dcterms:modified xsi:type="dcterms:W3CDTF">2025-12-12T11:55:00Z</dcterms:modified>
</cp:coreProperties>
</file>