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AFD5C" w14:textId="77777777" w:rsidR="005D5696" w:rsidRPr="003404A3" w:rsidRDefault="005D5696"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Bidi"/>
          <w:sz w:val="52"/>
          <w:szCs w:val="52"/>
          <w:cs/>
        </w:rPr>
      </w:pPr>
    </w:p>
    <w:p w14:paraId="493B59C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20CB571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3D4E0DC4"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707482D4" w14:textId="77777777" w:rsidR="007554BA" w:rsidRDefault="007554BA"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sz w:val="40"/>
          <w:szCs w:val="40"/>
        </w:rPr>
      </w:pPr>
    </w:p>
    <w:p w14:paraId="31A8F91C" w14:textId="1B51284A" w:rsidR="004873F1" w:rsidRDefault="004873F1"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sz w:val="40"/>
          <w:szCs w:val="40"/>
        </w:rPr>
      </w:pPr>
      <w:r w:rsidRPr="004873F1">
        <w:rPr>
          <w:rFonts w:asciiTheme="majorHAnsi" w:hAnsiTheme="majorHAnsi" w:cstheme="majorHAnsi"/>
          <w:sz w:val="40"/>
          <w:szCs w:val="40"/>
        </w:rPr>
        <w:t>NR Instant Produce Public Company Limited</w:t>
      </w:r>
    </w:p>
    <w:p w14:paraId="674F3C0C" w14:textId="01C1A714" w:rsidR="00C96482" w:rsidRPr="00456D32" w:rsidRDefault="0040751C"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rPr>
      </w:pPr>
      <w:r>
        <w:rPr>
          <w:rFonts w:asciiTheme="majorHAnsi" w:hAnsiTheme="majorHAnsi" w:cstheme="majorHAnsi"/>
          <w:sz w:val="40"/>
          <w:szCs w:val="40"/>
        </w:rPr>
        <w:t>and it</w:t>
      </w:r>
      <w:r w:rsidR="001A5C02">
        <w:rPr>
          <w:rFonts w:asciiTheme="majorHAnsi" w:hAnsiTheme="majorHAnsi" w:cstheme="majorHAnsi"/>
          <w:sz w:val="40"/>
          <w:szCs w:val="40"/>
        </w:rPr>
        <w:t>s</w:t>
      </w:r>
      <w:r>
        <w:rPr>
          <w:rFonts w:asciiTheme="majorHAnsi" w:hAnsiTheme="majorHAnsi" w:cstheme="majorHAnsi"/>
          <w:sz w:val="40"/>
          <w:szCs w:val="40"/>
        </w:rPr>
        <w:t xml:space="preserve"> subsidiaries </w:t>
      </w:r>
    </w:p>
    <w:p w14:paraId="65BF8F1E" w14:textId="16D6E32C" w:rsidR="00C96482" w:rsidRPr="0060664A" w:rsidRDefault="00685BD2"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inorBidi"/>
          <w:b w:val="0"/>
          <w:bCs w:val="0"/>
          <w:sz w:val="28"/>
          <w:szCs w:val="28"/>
        </w:rPr>
      </w:pPr>
      <w:r w:rsidRPr="00456D32">
        <w:rPr>
          <w:rFonts w:asciiTheme="majorHAnsi" w:hAnsiTheme="majorHAnsi" w:cstheme="majorHAnsi"/>
          <w:b w:val="0"/>
          <w:bCs w:val="0"/>
          <w:sz w:val="28"/>
          <w:szCs w:val="28"/>
        </w:rPr>
        <w:t>Condensed interim financial statements</w:t>
      </w:r>
      <w:r w:rsidR="0060664A">
        <w:rPr>
          <w:rFonts w:asciiTheme="majorHAnsi" w:hAnsiTheme="majorHAnsi" w:cstheme="minorBidi" w:hint="cs"/>
          <w:b w:val="0"/>
          <w:bCs w:val="0"/>
          <w:sz w:val="28"/>
          <w:szCs w:val="28"/>
          <w:cs/>
        </w:rPr>
        <w:t xml:space="preserve"> </w:t>
      </w:r>
    </w:p>
    <w:p w14:paraId="11F1F126" w14:textId="76030FEB" w:rsidR="00074130" w:rsidRDefault="00685BD2"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For the</w:t>
      </w:r>
      <w:r w:rsidR="008C7470">
        <w:rPr>
          <w:rFonts w:asciiTheme="majorHAnsi" w:hAnsiTheme="majorHAnsi" w:cstheme="minorBidi" w:hint="cs"/>
          <w:b w:val="0"/>
          <w:bCs w:val="0"/>
          <w:sz w:val="28"/>
          <w:szCs w:val="28"/>
          <w:cs/>
        </w:rPr>
        <w:t xml:space="preserve"> </w:t>
      </w:r>
      <w:r w:rsidR="008C7470">
        <w:rPr>
          <w:rFonts w:asciiTheme="majorHAnsi" w:hAnsiTheme="majorHAnsi" w:cstheme="minorBidi"/>
          <w:b w:val="0"/>
          <w:bCs w:val="0"/>
          <w:sz w:val="28"/>
          <w:szCs w:val="28"/>
        </w:rPr>
        <w:t>three</w:t>
      </w:r>
      <w:r w:rsidR="00074130">
        <w:rPr>
          <w:rFonts w:asciiTheme="majorHAnsi" w:hAnsiTheme="majorHAnsi" w:cstheme="minorBidi"/>
          <w:b w:val="0"/>
          <w:bCs w:val="0"/>
          <w:sz w:val="28"/>
          <w:szCs w:val="28"/>
        </w:rPr>
        <w:t xml:space="preserve">-month </w:t>
      </w:r>
      <w:r w:rsidR="00CD3443" w:rsidRPr="00456D32">
        <w:rPr>
          <w:rFonts w:asciiTheme="majorHAnsi" w:hAnsiTheme="majorHAnsi" w:cstheme="majorHAnsi"/>
          <w:b w:val="0"/>
          <w:bCs w:val="0"/>
          <w:sz w:val="28"/>
          <w:szCs w:val="28"/>
        </w:rPr>
        <w:t xml:space="preserve">period ended </w:t>
      </w:r>
    </w:p>
    <w:p w14:paraId="00E26E49" w14:textId="41B9E1B5" w:rsidR="00C96482" w:rsidRPr="00456D32" w:rsidRDefault="00CD3443"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3</w:t>
      </w:r>
      <w:r w:rsidR="004873F1">
        <w:rPr>
          <w:rFonts w:asciiTheme="majorHAnsi" w:hAnsiTheme="majorHAnsi" w:cstheme="majorHAnsi"/>
          <w:b w:val="0"/>
          <w:bCs w:val="0"/>
          <w:sz w:val="28"/>
          <w:szCs w:val="28"/>
        </w:rPr>
        <w:t xml:space="preserve">1 March </w:t>
      </w:r>
      <w:r w:rsidRPr="00456D32">
        <w:rPr>
          <w:rFonts w:asciiTheme="majorHAnsi" w:hAnsiTheme="majorHAnsi" w:cstheme="majorHAnsi"/>
          <w:b w:val="0"/>
          <w:bCs w:val="0"/>
          <w:sz w:val="28"/>
          <w:szCs w:val="28"/>
        </w:rPr>
        <w:t>202</w:t>
      </w:r>
      <w:r w:rsidR="004873F1">
        <w:rPr>
          <w:rFonts w:asciiTheme="majorHAnsi" w:hAnsiTheme="majorHAnsi" w:cstheme="majorHAnsi"/>
          <w:b w:val="0"/>
          <w:bCs w:val="0"/>
          <w:sz w:val="28"/>
          <w:szCs w:val="28"/>
        </w:rPr>
        <w:t>5</w:t>
      </w:r>
      <w:r w:rsidR="00C749D1">
        <w:rPr>
          <w:rFonts w:asciiTheme="majorHAnsi" w:hAnsiTheme="majorHAnsi" w:cstheme="majorHAnsi"/>
          <w:b w:val="0"/>
          <w:bCs w:val="0"/>
          <w:sz w:val="28"/>
          <w:szCs w:val="28"/>
        </w:rPr>
        <w:t xml:space="preserve"> </w:t>
      </w:r>
      <w:r w:rsidR="00C749D1">
        <w:rPr>
          <w:rFonts w:asciiTheme="majorHAnsi" w:hAnsiTheme="majorHAnsi" w:cstheme="minorBidi"/>
          <w:b w:val="0"/>
          <w:bCs w:val="0"/>
          <w:sz w:val="28"/>
          <w:szCs w:val="28"/>
        </w:rPr>
        <w:t>(Restated)</w:t>
      </w:r>
    </w:p>
    <w:p w14:paraId="09AD87B7" w14:textId="2A7B17F1" w:rsidR="00C96482" w:rsidRPr="00C749D1" w:rsidRDefault="00CD3443"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inorBidi"/>
          <w:b w:val="0"/>
          <w:bCs w:val="0"/>
          <w:sz w:val="28"/>
          <w:szCs w:val="28"/>
          <w:cs/>
          <w:lang w:val="th-TH"/>
        </w:rPr>
      </w:pPr>
      <w:r w:rsidRPr="00456D32">
        <w:rPr>
          <w:rFonts w:asciiTheme="majorHAnsi" w:hAnsiTheme="majorHAnsi" w:cstheme="majorHAnsi"/>
          <w:b w:val="0"/>
          <w:bCs w:val="0"/>
          <w:sz w:val="28"/>
          <w:szCs w:val="28"/>
        </w:rPr>
        <w:t>and</w:t>
      </w:r>
    </w:p>
    <w:p w14:paraId="3630C56E" w14:textId="77777777" w:rsidR="000E28E0" w:rsidRPr="000E28E0" w:rsidRDefault="000E28E0" w:rsidP="000E28E0">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0E28E0">
        <w:rPr>
          <w:rFonts w:asciiTheme="majorHAnsi" w:hAnsiTheme="majorHAnsi" w:cstheme="majorHAnsi"/>
          <w:b w:val="0"/>
          <w:bCs w:val="0"/>
          <w:sz w:val="28"/>
          <w:szCs w:val="28"/>
        </w:rPr>
        <w:t>Independent Auditor’s Report</w:t>
      </w:r>
    </w:p>
    <w:p w14:paraId="39AAB8C7" w14:textId="0812D532" w:rsidR="00C96482" w:rsidRPr="00202574" w:rsidRDefault="000E28E0" w:rsidP="000E28E0">
      <w:pPr>
        <w:pStyle w:val="ReportHeading1"/>
        <w:framePr w:w="0" w:hRule="auto" w:hSpace="0" w:wrap="auto" w:vAnchor="margin" w:hAnchor="text" w:xAlign="left" w:yAlign="inline"/>
        <w:tabs>
          <w:tab w:val="left" w:pos="540"/>
        </w:tabs>
        <w:spacing w:line="240" w:lineRule="auto"/>
        <w:ind w:right="-45"/>
        <w:jc w:val="center"/>
        <w:rPr>
          <w:rFonts w:cstheme="minorBidi"/>
          <w:b w:val="0"/>
          <w:bCs w:val="0"/>
          <w:color w:val="000000"/>
          <w:sz w:val="28"/>
          <w:szCs w:val="28"/>
          <w:cs/>
        </w:rPr>
      </w:pPr>
      <w:r w:rsidRPr="000E28E0">
        <w:rPr>
          <w:rFonts w:asciiTheme="majorHAnsi" w:hAnsiTheme="majorHAnsi" w:cstheme="majorHAnsi"/>
          <w:b w:val="0"/>
          <w:bCs w:val="0"/>
          <w:sz w:val="28"/>
          <w:szCs w:val="28"/>
        </w:rPr>
        <w:t>on review of interim financial information</w:t>
      </w:r>
      <w:r w:rsidR="00C96482" w:rsidRPr="00C40734">
        <w:rPr>
          <w:rFonts w:cstheme="minorHAnsi"/>
          <w:color w:val="000000"/>
          <w:sz w:val="28"/>
          <w:szCs w:val="28"/>
          <w:cs/>
        </w:rPr>
        <w:br w:type="page"/>
      </w:r>
    </w:p>
    <w:p w14:paraId="206AD46E" w14:textId="4B454860" w:rsidR="004861AB" w:rsidRPr="001027E8" w:rsidRDefault="00BD7A6A" w:rsidP="004861AB">
      <w:pPr>
        <w:pStyle w:val="Default"/>
        <w:jc w:val="thaiDistribute"/>
        <w:rPr>
          <w:rFonts w:asciiTheme="minorHAnsi" w:hAnsiTheme="minorHAnsi" w:cstheme="minorHAnsi"/>
          <w:b/>
          <w:bCs/>
        </w:rPr>
      </w:pPr>
      <w:r w:rsidRPr="001027E8">
        <w:rPr>
          <w:rFonts w:asciiTheme="minorHAnsi" w:hAnsiTheme="minorHAnsi" w:cstheme="minorHAnsi"/>
          <w:b/>
          <w:bCs/>
        </w:rPr>
        <w:lastRenderedPageBreak/>
        <w:t>Independent Auditor’s Report on Review of Interim Financial Information</w:t>
      </w:r>
    </w:p>
    <w:p w14:paraId="2DEBB1AB" w14:textId="77777777" w:rsidR="008A2295" w:rsidRPr="00CC19B2" w:rsidRDefault="008A2295" w:rsidP="004861AB">
      <w:pPr>
        <w:pStyle w:val="Default"/>
        <w:jc w:val="thaiDistribute"/>
        <w:rPr>
          <w:rFonts w:asciiTheme="majorHAnsi" w:hAnsiTheme="majorHAnsi" w:cstheme="majorHAnsi"/>
          <w:b/>
          <w:bCs/>
          <w:spacing w:val="4"/>
          <w:sz w:val="21"/>
          <w:szCs w:val="21"/>
        </w:rPr>
      </w:pPr>
    </w:p>
    <w:p w14:paraId="09B06C58" w14:textId="33A0F198" w:rsidR="00953BC1" w:rsidRPr="007245CC" w:rsidRDefault="00953BC1" w:rsidP="00953BC1">
      <w:pPr>
        <w:spacing w:line="240" w:lineRule="auto"/>
        <w:jc w:val="both"/>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To the Board of Directors</w:t>
      </w:r>
      <w:r w:rsidRPr="007245CC">
        <w:rPr>
          <w:rFonts w:asciiTheme="majorHAnsi" w:eastAsia="Cordia New" w:hAnsiTheme="majorHAnsi" w:cstheme="majorHAnsi"/>
          <w:b/>
          <w:bCs/>
          <w:color w:val="auto"/>
          <w:sz w:val="22"/>
          <w:szCs w:val="22"/>
          <w:cs/>
          <w:lang w:eastAsia="zh-CN"/>
        </w:rPr>
        <w:t xml:space="preserve"> </w:t>
      </w:r>
      <w:r w:rsidRPr="007245CC">
        <w:rPr>
          <w:rFonts w:asciiTheme="majorHAnsi" w:eastAsia="Cordia New" w:hAnsiTheme="majorHAnsi" w:cstheme="majorHAnsi"/>
          <w:b/>
          <w:bCs/>
          <w:color w:val="auto"/>
          <w:sz w:val="22"/>
          <w:szCs w:val="22"/>
          <w:lang w:eastAsia="zh-CN"/>
        </w:rPr>
        <w:t xml:space="preserve">of </w:t>
      </w:r>
      <w:r w:rsidR="0072476B" w:rsidRPr="0072476B">
        <w:rPr>
          <w:rFonts w:asciiTheme="majorHAnsi" w:eastAsia="Cordia New" w:hAnsiTheme="majorHAnsi" w:cstheme="majorHAnsi"/>
          <w:b/>
          <w:bCs/>
          <w:color w:val="auto"/>
          <w:sz w:val="22"/>
          <w:szCs w:val="22"/>
          <w:lang w:eastAsia="zh-CN"/>
        </w:rPr>
        <w:t>NR Instant Produce Public Company Limited</w:t>
      </w:r>
    </w:p>
    <w:p w14:paraId="7784177F" w14:textId="77777777" w:rsidR="004861AB" w:rsidRPr="007245CC" w:rsidRDefault="004861AB" w:rsidP="004861AB">
      <w:pPr>
        <w:pStyle w:val="Default"/>
        <w:jc w:val="thaiDistribute"/>
        <w:rPr>
          <w:rFonts w:asciiTheme="majorHAnsi" w:hAnsiTheme="majorHAnsi" w:cstheme="majorHAnsi"/>
          <w:sz w:val="22"/>
          <w:szCs w:val="22"/>
          <w:cs/>
        </w:rPr>
      </w:pPr>
    </w:p>
    <w:p w14:paraId="0698270E" w14:textId="0CE1D724" w:rsidR="00CA22E6" w:rsidRPr="007245CC" w:rsidRDefault="006D3E09" w:rsidP="00CA22E6">
      <w:pPr>
        <w:spacing w:line="240" w:lineRule="auto"/>
        <w:jc w:val="thaiDistribute"/>
        <w:rPr>
          <w:rFonts w:asciiTheme="majorHAnsi" w:hAnsiTheme="majorHAnsi" w:cstheme="majorHAnsi"/>
          <w:color w:val="auto"/>
          <w:spacing w:val="4"/>
          <w:sz w:val="22"/>
          <w:szCs w:val="22"/>
        </w:rPr>
      </w:pPr>
      <w:r w:rsidRPr="002D5E8B">
        <w:rPr>
          <w:noProof/>
          <w:sz w:val="2"/>
          <w:szCs w:val="2"/>
        </w:rPr>
        <mc:AlternateContent>
          <mc:Choice Requires="wps">
            <w:drawing>
              <wp:anchor distT="0" distB="0" distL="114300" distR="114300" simplePos="0" relativeHeight="251658240" behindDoc="0" locked="1" layoutInCell="1" allowOverlap="1" wp14:anchorId="5DCA070A" wp14:editId="4715F5DA">
                <wp:simplePos x="0" y="0"/>
                <wp:positionH relativeFrom="page">
                  <wp:posOffset>5296535</wp:posOffset>
                </wp:positionH>
                <wp:positionV relativeFrom="page">
                  <wp:posOffset>289560</wp:posOffset>
                </wp:positionV>
                <wp:extent cx="1866900" cy="1371600"/>
                <wp:effectExtent l="0" t="0" r="0" b="0"/>
                <wp:wrapNone/>
                <wp:docPr id="1117596117" name="Text Box 1117596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55232E" w14:textId="77777777" w:rsidR="006D3E09" w:rsidRPr="00283E36" w:rsidRDefault="006D3E09" w:rsidP="006D3E09">
                            <w:pPr>
                              <w:pStyle w:val="Address"/>
                              <w:rPr>
                                <w:b/>
                                <w:bCs/>
                                <w:sz w:val="16"/>
                                <w:szCs w:val="16"/>
                              </w:rPr>
                            </w:pPr>
                            <w:r w:rsidRPr="00283E36">
                              <w:rPr>
                                <w:b/>
                                <w:bCs/>
                                <w:sz w:val="16"/>
                                <w:szCs w:val="16"/>
                              </w:rPr>
                              <w:t xml:space="preserve">PKF </w:t>
                            </w:r>
                            <w:r>
                              <w:rPr>
                                <w:b/>
                                <w:bCs/>
                                <w:sz w:val="16"/>
                                <w:szCs w:val="16"/>
                              </w:rPr>
                              <w:t>Audit (Thailand) Ltd.</w:t>
                            </w:r>
                          </w:p>
                          <w:p w14:paraId="3B338D61" w14:textId="77777777" w:rsidR="006D3E09" w:rsidRDefault="006D3E09" w:rsidP="006D3E09">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43C38AD8" w14:textId="77777777" w:rsidR="006D3E09" w:rsidRDefault="006D3E09" w:rsidP="006D3E09">
                            <w:pPr>
                              <w:pStyle w:val="Address"/>
                              <w:rPr>
                                <w:sz w:val="16"/>
                                <w:szCs w:val="16"/>
                              </w:rPr>
                            </w:pPr>
                            <w:r w:rsidRPr="007876EB">
                              <w:rPr>
                                <w:sz w:val="16"/>
                                <w:szCs w:val="16"/>
                              </w:rPr>
                              <w:t>+66 2108 1591</w:t>
                            </w:r>
                          </w:p>
                          <w:p w14:paraId="3FB25AAF" w14:textId="77777777" w:rsidR="006D3E09" w:rsidRPr="000D128A" w:rsidRDefault="006D3E09" w:rsidP="006D3E09">
                            <w:pPr>
                              <w:pStyle w:val="Address"/>
                              <w:rPr>
                                <w:sz w:val="16"/>
                                <w:szCs w:val="16"/>
                              </w:rPr>
                            </w:pPr>
                            <w:r w:rsidRPr="00E22E90">
                              <w:rPr>
                                <w:sz w:val="16"/>
                                <w:szCs w:val="16"/>
                              </w:rPr>
                              <w:t>thailand@pkf.co.th</w:t>
                            </w:r>
                          </w:p>
                          <w:p w14:paraId="384DB9BA" w14:textId="77777777" w:rsidR="006D3E09" w:rsidRPr="000D128A" w:rsidRDefault="006D3E09" w:rsidP="006D3E09">
                            <w:pPr>
                              <w:pStyle w:val="Address"/>
                              <w:rPr>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CA070A" id="_x0000_t202" coordsize="21600,21600" o:spt="202" path="m,l,21600r21600,l21600,xe">
                <v:stroke joinstyle="miter"/>
                <v:path gradientshapeok="t" o:connecttype="rect"/>
              </v:shapetype>
              <v:shape id="Text Box 1117596117" o:spid="_x0000_s1026" type="#_x0000_t202" style="position:absolute;left:0;text-align:left;margin-left:417.05pt;margin-top:22.8pt;width:147pt;height:10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" filled="f" stroked="f">
                <v:textbox inset="0,0,0,0">
                  <w:txbxContent>
                    <w:p w14:paraId="7655232E" w14:textId="77777777" w:rsidR="006D3E09" w:rsidRPr="00283E36" w:rsidRDefault="006D3E09" w:rsidP="006D3E09">
                      <w:pPr>
                        <w:pStyle w:val="Address"/>
                        <w:rPr>
                          <w:b/>
                          <w:bCs/>
                          <w:sz w:val="16"/>
                          <w:szCs w:val="16"/>
                        </w:rPr>
                      </w:pPr>
                      <w:r w:rsidRPr="00283E36">
                        <w:rPr>
                          <w:b/>
                          <w:bCs/>
                          <w:sz w:val="16"/>
                          <w:szCs w:val="16"/>
                        </w:rPr>
                        <w:t xml:space="preserve">PKF </w:t>
                      </w:r>
                      <w:r>
                        <w:rPr>
                          <w:b/>
                          <w:bCs/>
                          <w:sz w:val="16"/>
                          <w:szCs w:val="16"/>
                        </w:rPr>
                        <w:t>Audit (Thailand) Ltd.</w:t>
                      </w:r>
                    </w:p>
                    <w:p w14:paraId="3B338D61" w14:textId="77777777" w:rsidR="006D3E09" w:rsidRDefault="006D3E09" w:rsidP="006D3E09">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43C38AD8" w14:textId="77777777" w:rsidR="006D3E09" w:rsidRDefault="006D3E09" w:rsidP="006D3E09">
                      <w:pPr>
                        <w:pStyle w:val="Address"/>
                        <w:rPr>
                          <w:sz w:val="16"/>
                          <w:szCs w:val="16"/>
                        </w:rPr>
                      </w:pPr>
                      <w:r w:rsidRPr="007876EB">
                        <w:rPr>
                          <w:sz w:val="16"/>
                          <w:szCs w:val="16"/>
                        </w:rPr>
                        <w:t>+66 2108 1591</w:t>
                      </w:r>
                    </w:p>
                    <w:p w14:paraId="3FB25AAF" w14:textId="77777777" w:rsidR="006D3E09" w:rsidRPr="000D128A" w:rsidRDefault="006D3E09" w:rsidP="006D3E09">
                      <w:pPr>
                        <w:pStyle w:val="Address"/>
                        <w:rPr>
                          <w:sz w:val="16"/>
                          <w:szCs w:val="16"/>
                        </w:rPr>
                      </w:pPr>
                      <w:r w:rsidRPr="00E22E90">
                        <w:rPr>
                          <w:sz w:val="16"/>
                          <w:szCs w:val="16"/>
                        </w:rPr>
                        <w:t>thailand@pkf.co.th</w:t>
                      </w:r>
                    </w:p>
                    <w:p w14:paraId="384DB9BA" w14:textId="77777777" w:rsidR="006D3E09" w:rsidRPr="000D128A" w:rsidRDefault="006D3E09" w:rsidP="006D3E09">
                      <w:pPr>
                        <w:pStyle w:val="Address"/>
                        <w:rPr>
                          <w:sz w:val="16"/>
                          <w:szCs w:val="16"/>
                        </w:rPr>
                      </w:pPr>
                    </w:p>
                  </w:txbxContent>
                </v:textbox>
                <w10:wrap anchorx="page" anchory="page"/>
                <w10:anchorlock/>
              </v:shape>
            </w:pict>
          </mc:Fallback>
        </mc:AlternateContent>
      </w:r>
      <w:r w:rsidR="00CA22E6" w:rsidRPr="007245CC">
        <w:rPr>
          <w:rFonts w:asciiTheme="majorHAnsi" w:hAnsiTheme="majorHAnsi" w:cstheme="majorHAnsi"/>
          <w:color w:val="auto"/>
          <w:spacing w:val="4"/>
          <w:sz w:val="22"/>
          <w:szCs w:val="22"/>
        </w:rPr>
        <w:t xml:space="preserve">I have reviewed the accompanying consolidated and separate statements of financial position </w:t>
      </w:r>
      <w:r w:rsidR="00F108C0" w:rsidRPr="007245CC">
        <w:rPr>
          <w:rFonts w:asciiTheme="majorHAnsi" w:hAnsiTheme="majorHAnsi" w:cstheme="majorHAnsi"/>
          <w:color w:val="auto"/>
          <w:spacing w:val="4"/>
          <w:sz w:val="22"/>
          <w:szCs w:val="22"/>
        </w:rPr>
        <w:t xml:space="preserve">of </w:t>
      </w:r>
      <w:r w:rsidR="004E2867" w:rsidRPr="004E2867">
        <w:rPr>
          <w:rFonts w:asciiTheme="majorHAnsi" w:hAnsiTheme="majorHAnsi" w:cstheme="majorHAnsi"/>
          <w:color w:val="auto"/>
          <w:spacing w:val="4"/>
          <w:sz w:val="22"/>
          <w:szCs w:val="22"/>
        </w:rPr>
        <w:t>NR Instant Produce Public Company Limited</w:t>
      </w:r>
      <w:r w:rsidR="004E2867">
        <w:rPr>
          <w:rFonts w:asciiTheme="majorHAnsi" w:hAnsiTheme="majorHAnsi" w:cstheme="majorHAnsi"/>
          <w:color w:val="auto"/>
          <w:spacing w:val="4"/>
          <w:sz w:val="22"/>
          <w:szCs w:val="22"/>
        </w:rPr>
        <w:t xml:space="preserve"> </w:t>
      </w:r>
      <w:r w:rsidR="00F108C0" w:rsidRPr="007245CC">
        <w:rPr>
          <w:rFonts w:asciiTheme="majorHAnsi" w:hAnsiTheme="majorHAnsi" w:cstheme="majorHAnsi"/>
          <w:color w:val="auto"/>
          <w:spacing w:val="4"/>
          <w:sz w:val="22"/>
          <w:szCs w:val="22"/>
        </w:rPr>
        <w:t>and its subsidiaries</w:t>
      </w:r>
      <w:r w:rsidR="002605AB">
        <w:rPr>
          <w:rFonts w:asciiTheme="majorHAnsi" w:hAnsiTheme="majorHAnsi" w:cstheme="majorHAnsi"/>
          <w:color w:val="auto"/>
          <w:spacing w:val="4"/>
          <w:sz w:val="22"/>
          <w:szCs w:val="22"/>
        </w:rPr>
        <w:t xml:space="preserve"> (</w:t>
      </w:r>
      <w:r w:rsidR="007945C1">
        <w:rPr>
          <w:rFonts w:asciiTheme="majorHAnsi" w:hAnsiTheme="majorHAnsi" w:cstheme="majorHAnsi"/>
          <w:color w:val="auto"/>
          <w:spacing w:val="4"/>
          <w:sz w:val="22"/>
          <w:szCs w:val="22"/>
        </w:rPr>
        <w:t>“the Group”)</w:t>
      </w:r>
      <w:r w:rsidR="00F108C0" w:rsidRPr="007245CC">
        <w:rPr>
          <w:rFonts w:asciiTheme="majorHAnsi" w:hAnsiTheme="majorHAnsi" w:cstheme="majorHAnsi"/>
          <w:color w:val="auto"/>
          <w:spacing w:val="4"/>
          <w:sz w:val="22"/>
          <w:szCs w:val="22"/>
        </w:rPr>
        <w:t xml:space="preserve">, and of </w:t>
      </w:r>
      <w:r w:rsidR="004E2867" w:rsidRPr="004E2867">
        <w:rPr>
          <w:rFonts w:asciiTheme="majorHAnsi" w:hAnsiTheme="majorHAnsi" w:cstheme="majorHAnsi"/>
          <w:color w:val="auto"/>
          <w:spacing w:val="4"/>
          <w:sz w:val="22"/>
          <w:szCs w:val="22"/>
        </w:rPr>
        <w:t>NR Instant Produce Public Company Limited</w:t>
      </w:r>
      <w:r w:rsidR="007945C1">
        <w:rPr>
          <w:rFonts w:asciiTheme="majorHAnsi" w:hAnsiTheme="majorHAnsi" w:cstheme="majorHAnsi"/>
          <w:color w:val="auto"/>
          <w:spacing w:val="4"/>
          <w:sz w:val="22"/>
          <w:szCs w:val="22"/>
        </w:rPr>
        <w:t xml:space="preserve"> (“the Company”)</w:t>
      </w:r>
      <w:r w:rsidR="002577C5">
        <w:rPr>
          <w:rFonts w:asciiTheme="majorHAnsi" w:hAnsiTheme="majorHAnsi" w:cstheme="majorHAnsi"/>
          <w:color w:val="auto"/>
          <w:spacing w:val="4"/>
          <w:sz w:val="22"/>
          <w:szCs w:val="22"/>
        </w:rPr>
        <w:t>, respectively</w:t>
      </w:r>
      <w:r w:rsidR="00F108C0" w:rsidRPr="007245CC">
        <w:rPr>
          <w:rFonts w:asciiTheme="majorHAnsi" w:hAnsiTheme="majorHAnsi" w:cstheme="majorHAnsi"/>
          <w:color w:val="auto"/>
          <w:spacing w:val="4"/>
          <w:sz w:val="22"/>
          <w:szCs w:val="22"/>
        </w:rPr>
        <w:t xml:space="preserve"> </w:t>
      </w:r>
      <w:r w:rsidR="00CA22E6" w:rsidRPr="007245CC">
        <w:rPr>
          <w:rFonts w:asciiTheme="majorHAnsi" w:hAnsiTheme="majorHAnsi" w:cstheme="majorHAnsi"/>
          <w:color w:val="auto"/>
          <w:spacing w:val="4"/>
          <w:sz w:val="22"/>
          <w:szCs w:val="22"/>
        </w:rPr>
        <w:t>as at</w:t>
      </w:r>
      <w:r w:rsidR="007245CC">
        <w:rPr>
          <w:rFonts w:asciiTheme="majorHAnsi" w:hAnsiTheme="majorHAnsi" w:cstheme="majorHAnsi"/>
          <w:color w:val="auto"/>
          <w:spacing w:val="4"/>
          <w:sz w:val="22"/>
          <w:szCs w:val="22"/>
        </w:rPr>
        <w:t xml:space="preserve"> </w:t>
      </w:r>
      <w:r w:rsidR="00CA22E6" w:rsidRPr="007245CC">
        <w:rPr>
          <w:rFonts w:asciiTheme="majorHAnsi" w:hAnsiTheme="majorHAnsi" w:cstheme="majorHAnsi"/>
          <w:color w:val="auto"/>
          <w:spacing w:val="2"/>
          <w:sz w:val="22"/>
          <w:szCs w:val="22"/>
        </w:rPr>
        <w:t>3</w:t>
      </w:r>
      <w:r w:rsidR="004E2867">
        <w:rPr>
          <w:rFonts w:asciiTheme="majorHAnsi" w:hAnsiTheme="majorHAnsi" w:cstheme="majorHAnsi"/>
          <w:color w:val="auto"/>
          <w:spacing w:val="2"/>
          <w:sz w:val="22"/>
          <w:szCs w:val="22"/>
        </w:rPr>
        <w:t xml:space="preserve">1 March </w:t>
      </w:r>
      <w:r w:rsidR="00CA22E6" w:rsidRPr="007245CC">
        <w:rPr>
          <w:rFonts w:asciiTheme="majorHAnsi" w:hAnsiTheme="majorHAnsi" w:cstheme="majorHAnsi"/>
          <w:color w:val="auto"/>
          <w:spacing w:val="2"/>
          <w:sz w:val="22"/>
          <w:szCs w:val="22"/>
        </w:rPr>
        <w:t>202</w:t>
      </w:r>
      <w:r w:rsidR="004E2867">
        <w:rPr>
          <w:rFonts w:asciiTheme="majorHAnsi" w:hAnsiTheme="majorHAnsi" w:cstheme="majorHAnsi"/>
          <w:color w:val="auto"/>
          <w:spacing w:val="2"/>
          <w:sz w:val="22"/>
          <w:szCs w:val="22"/>
        </w:rPr>
        <w:t>5</w:t>
      </w:r>
      <w:r w:rsidR="002577C5">
        <w:rPr>
          <w:rFonts w:asciiTheme="majorHAnsi" w:hAnsiTheme="majorHAnsi" w:cstheme="majorHAnsi"/>
          <w:color w:val="auto"/>
          <w:spacing w:val="2"/>
          <w:sz w:val="22"/>
          <w:szCs w:val="22"/>
        </w:rPr>
        <w:t>;</w:t>
      </w:r>
      <w:r w:rsidR="00CA22E6" w:rsidRPr="007245CC">
        <w:rPr>
          <w:rFonts w:asciiTheme="majorHAnsi" w:hAnsiTheme="majorHAnsi" w:cstheme="majorHAnsi"/>
          <w:color w:val="auto"/>
          <w:spacing w:val="2"/>
          <w:sz w:val="22"/>
          <w:szCs w:val="22"/>
        </w:rPr>
        <w:t xml:space="preserve"> the consolidated and separate statements of comprehensive income</w:t>
      </w:r>
      <w:r w:rsidR="00CB4546">
        <w:rPr>
          <w:rFonts w:asciiTheme="majorHAnsi" w:hAnsiTheme="majorHAnsi" w:cstheme="majorHAnsi"/>
          <w:color w:val="auto"/>
          <w:spacing w:val="2"/>
          <w:sz w:val="22"/>
          <w:szCs w:val="22"/>
        </w:rPr>
        <w:t>,</w:t>
      </w:r>
      <w:r w:rsidR="00D823BE">
        <w:rPr>
          <w:rFonts w:asciiTheme="majorHAnsi" w:hAnsiTheme="majorHAnsi"/>
          <w:color w:val="auto"/>
          <w:spacing w:val="2"/>
          <w:sz w:val="22"/>
          <w:szCs w:val="28"/>
          <w:lang w:bidi="th-TH"/>
        </w:rPr>
        <w:t xml:space="preserve"> </w:t>
      </w:r>
      <w:r w:rsidR="00F82FE0" w:rsidRPr="007245CC">
        <w:rPr>
          <w:rFonts w:asciiTheme="majorHAnsi" w:hAnsiTheme="majorHAnsi" w:cstheme="majorHAnsi"/>
          <w:color w:val="auto"/>
          <w:spacing w:val="4"/>
          <w:sz w:val="22"/>
          <w:szCs w:val="22"/>
        </w:rPr>
        <w:t xml:space="preserve">changes in equity and cash flows </w:t>
      </w:r>
      <w:r w:rsidR="00CA22E6" w:rsidRPr="007245CC">
        <w:rPr>
          <w:rFonts w:asciiTheme="majorHAnsi" w:hAnsiTheme="majorHAnsi" w:cstheme="majorHAnsi"/>
          <w:color w:val="auto"/>
          <w:spacing w:val="2"/>
          <w:sz w:val="22"/>
          <w:szCs w:val="22"/>
        </w:rPr>
        <w:t>for</w:t>
      </w:r>
      <w:r w:rsidR="00CA22E6" w:rsidRPr="007245CC">
        <w:rPr>
          <w:rFonts w:asciiTheme="majorHAnsi" w:hAnsiTheme="majorHAnsi" w:cstheme="majorHAnsi"/>
          <w:color w:val="auto"/>
          <w:spacing w:val="4"/>
          <w:sz w:val="22"/>
          <w:szCs w:val="22"/>
        </w:rPr>
        <w:t xml:space="preserve"> the </w:t>
      </w:r>
      <w:r w:rsidR="00207367">
        <w:rPr>
          <w:rFonts w:asciiTheme="majorHAnsi" w:hAnsiTheme="majorHAnsi" w:cstheme="majorHAnsi"/>
          <w:color w:val="auto"/>
          <w:spacing w:val="4"/>
          <w:sz w:val="22"/>
          <w:szCs w:val="22"/>
        </w:rPr>
        <w:t>three</w:t>
      </w:r>
      <w:r w:rsidR="00CA22E6" w:rsidRPr="007245CC">
        <w:rPr>
          <w:rFonts w:asciiTheme="majorHAnsi" w:hAnsiTheme="majorHAnsi" w:cstheme="majorHAnsi"/>
          <w:color w:val="auto"/>
          <w:spacing w:val="4"/>
          <w:sz w:val="22"/>
          <w:szCs w:val="22"/>
        </w:rPr>
        <w:t xml:space="preserve">-month period </w:t>
      </w:r>
      <w:r w:rsidR="00457728">
        <w:rPr>
          <w:rFonts w:asciiTheme="majorHAnsi" w:hAnsiTheme="majorHAnsi" w:cstheme="majorHAnsi"/>
          <w:color w:val="auto"/>
          <w:spacing w:val="4"/>
          <w:sz w:val="22"/>
          <w:szCs w:val="22"/>
        </w:rPr>
        <w:t xml:space="preserve">then </w:t>
      </w:r>
      <w:r w:rsidR="00CA22E6" w:rsidRPr="007245CC">
        <w:rPr>
          <w:rFonts w:asciiTheme="majorHAnsi" w:hAnsiTheme="majorHAnsi" w:cstheme="majorHAnsi"/>
          <w:color w:val="auto"/>
          <w:spacing w:val="4"/>
          <w:sz w:val="22"/>
          <w:szCs w:val="22"/>
        </w:rPr>
        <w:t>ended</w:t>
      </w:r>
      <w:r w:rsidR="00F82FE0">
        <w:rPr>
          <w:rFonts w:asciiTheme="majorHAnsi" w:hAnsiTheme="majorHAnsi" w:cstheme="majorHAnsi"/>
          <w:color w:val="auto"/>
          <w:spacing w:val="4"/>
          <w:sz w:val="22"/>
          <w:szCs w:val="22"/>
        </w:rPr>
        <w:t>;</w:t>
      </w:r>
      <w:r w:rsidR="00CA22E6" w:rsidRPr="007245CC">
        <w:rPr>
          <w:rFonts w:asciiTheme="majorHAnsi" w:hAnsiTheme="majorHAnsi" w:cstheme="majorHAnsi"/>
          <w:color w:val="auto"/>
          <w:spacing w:val="4"/>
          <w:sz w:val="22"/>
          <w:szCs w:val="22"/>
        </w:rPr>
        <w:t xml:space="preserve"> </w:t>
      </w:r>
      <w:r w:rsidR="00794415">
        <w:rPr>
          <w:rFonts w:asciiTheme="majorHAnsi" w:hAnsiTheme="majorHAnsi" w:cstheme="majorHAnsi"/>
          <w:color w:val="auto"/>
          <w:spacing w:val="4"/>
          <w:sz w:val="22"/>
          <w:szCs w:val="22"/>
        </w:rPr>
        <w:t xml:space="preserve">and </w:t>
      </w:r>
      <w:r w:rsidR="00DE2487">
        <w:rPr>
          <w:rFonts w:asciiTheme="majorHAnsi" w:hAnsiTheme="majorHAnsi" w:cstheme="majorHAnsi"/>
          <w:color w:val="auto"/>
          <w:spacing w:val="4"/>
          <w:sz w:val="22"/>
          <w:szCs w:val="22"/>
        </w:rPr>
        <w:t xml:space="preserve">the </w:t>
      </w:r>
      <w:r w:rsidR="00CA22E6" w:rsidRPr="007245CC">
        <w:rPr>
          <w:rFonts w:asciiTheme="majorHAnsi" w:hAnsiTheme="majorHAnsi" w:cstheme="majorHAnsi"/>
          <w:color w:val="auto"/>
          <w:spacing w:val="4"/>
          <w:sz w:val="22"/>
          <w:szCs w:val="22"/>
        </w:rPr>
        <w:t xml:space="preserve">condensed notes </w:t>
      </w:r>
      <w:r w:rsidR="00794415">
        <w:rPr>
          <w:rFonts w:asciiTheme="majorHAnsi" w:hAnsiTheme="majorHAnsi" w:cstheme="majorHAnsi"/>
          <w:color w:val="auto"/>
          <w:spacing w:val="4"/>
          <w:sz w:val="22"/>
          <w:szCs w:val="22"/>
        </w:rPr>
        <w:t>(“</w:t>
      </w:r>
      <w:r w:rsidR="00CA22E6" w:rsidRPr="007245CC">
        <w:rPr>
          <w:rFonts w:asciiTheme="majorHAnsi" w:hAnsiTheme="majorHAnsi" w:cstheme="majorHAnsi"/>
          <w:color w:val="auto"/>
          <w:spacing w:val="4"/>
          <w:sz w:val="22"/>
          <w:szCs w:val="22"/>
        </w:rPr>
        <w:t xml:space="preserve">interim financial </w:t>
      </w:r>
      <w:bookmarkStart w:id="0" w:name="_Hlk198049961"/>
      <w:r w:rsidR="00CA22E6" w:rsidRPr="007245CC">
        <w:rPr>
          <w:rFonts w:asciiTheme="majorHAnsi" w:hAnsiTheme="majorHAnsi" w:cstheme="majorHAnsi"/>
          <w:color w:val="auto"/>
          <w:spacing w:val="4"/>
          <w:sz w:val="22"/>
          <w:szCs w:val="22"/>
        </w:rPr>
        <w:t>information</w:t>
      </w:r>
      <w:bookmarkEnd w:id="0"/>
      <w:r w:rsidR="005C61D5">
        <w:rPr>
          <w:rFonts w:asciiTheme="majorHAnsi" w:hAnsiTheme="majorHAnsi" w:cstheme="majorHAnsi"/>
          <w:color w:val="auto"/>
          <w:spacing w:val="4"/>
          <w:sz w:val="22"/>
          <w:szCs w:val="22"/>
        </w:rPr>
        <w:t>”)</w:t>
      </w:r>
      <w:r w:rsidR="00CA22E6" w:rsidRPr="007245CC">
        <w:rPr>
          <w:rFonts w:asciiTheme="majorHAnsi" w:hAnsiTheme="majorHAnsi" w:cstheme="majorHAnsi"/>
          <w:color w:val="auto"/>
          <w:spacing w:val="4"/>
          <w:sz w:val="22"/>
          <w:szCs w:val="22"/>
        </w:rPr>
        <w:t>. Management is responsible for the preparation and presentation of this interim financial information in accordance with Thai Accounting Standard 34, “Interim Financial Reporting”. My responsibility is to express a conclusion on this interim financial information based</w:t>
      </w:r>
      <w:r w:rsidR="00CA22E6" w:rsidRPr="007245CC">
        <w:rPr>
          <w:rFonts w:asciiTheme="majorHAnsi" w:hAnsiTheme="majorHAnsi" w:cstheme="majorHAnsi"/>
          <w:color w:val="auto"/>
          <w:spacing w:val="4"/>
          <w:sz w:val="22"/>
          <w:szCs w:val="22"/>
          <w:cs/>
        </w:rPr>
        <w:t xml:space="preserve"> </w:t>
      </w:r>
      <w:r w:rsidR="00CA22E6" w:rsidRPr="007245CC">
        <w:rPr>
          <w:rFonts w:asciiTheme="majorHAnsi" w:hAnsiTheme="majorHAnsi" w:cstheme="majorHAnsi"/>
          <w:color w:val="auto"/>
          <w:spacing w:val="4"/>
          <w:sz w:val="22"/>
          <w:szCs w:val="22"/>
        </w:rPr>
        <w:t>on my review.</w:t>
      </w:r>
    </w:p>
    <w:p w14:paraId="3BDD0F82" w14:textId="77777777" w:rsidR="004861AB" w:rsidRPr="007245CC" w:rsidRDefault="004861AB" w:rsidP="004861AB">
      <w:pPr>
        <w:pStyle w:val="Default"/>
        <w:jc w:val="thaiDistribute"/>
        <w:rPr>
          <w:rFonts w:asciiTheme="majorHAnsi" w:hAnsiTheme="majorHAnsi" w:cstheme="majorHAnsi"/>
          <w:sz w:val="22"/>
          <w:szCs w:val="22"/>
          <w:cs/>
        </w:rPr>
      </w:pPr>
    </w:p>
    <w:p w14:paraId="2D27C2D6" w14:textId="77777777" w:rsidR="002079BD" w:rsidRPr="007245CC" w:rsidRDefault="002079BD" w:rsidP="002079BD">
      <w:pPr>
        <w:spacing w:line="240" w:lineRule="auto"/>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Scope of review</w:t>
      </w:r>
    </w:p>
    <w:p w14:paraId="26F372A7" w14:textId="77777777" w:rsidR="004861AB" w:rsidRPr="008C19E0" w:rsidRDefault="004861AB" w:rsidP="004861AB">
      <w:pPr>
        <w:pStyle w:val="Default"/>
        <w:jc w:val="thaiDistribute"/>
        <w:rPr>
          <w:rFonts w:asciiTheme="majorHAnsi" w:hAnsiTheme="majorHAnsi" w:cstheme="minorBidi"/>
          <w:sz w:val="22"/>
          <w:szCs w:val="22"/>
          <w:cs/>
        </w:rPr>
      </w:pPr>
    </w:p>
    <w:p w14:paraId="64823C0B" w14:textId="5FB72E2E" w:rsidR="004861AB" w:rsidRDefault="008F7F47" w:rsidP="004861AB">
      <w:pPr>
        <w:pStyle w:val="Default"/>
        <w:jc w:val="thaiDistribute"/>
        <w:rPr>
          <w:rFonts w:asciiTheme="majorHAnsi" w:eastAsiaTheme="minorHAnsi" w:hAnsiTheme="majorHAnsi" w:cstheme="minorBidi"/>
          <w:color w:val="auto"/>
          <w:spacing w:val="4"/>
          <w:sz w:val="22"/>
          <w:szCs w:val="28"/>
        </w:rPr>
      </w:pPr>
      <w:r w:rsidRPr="008F7F47">
        <w:rPr>
          <w:rFonts w:asciiTheme="majorHAnsi" w:eastAsiaTheme="minorHAnsi" w:hAnsiTheme="majorHAnsi" w:cstheme="majorHAnsi"/>
          <w:color w:val="auto"/>
          <w:spacing w:val="4"/>
          <w:sz w:val="22"/>
          <w:szCs w:val="22"/>
          <w:lang w:bidi="ar-SA"/>
        </w:rPr>
        <w:t xml:space="preserve">Except for the possible effects of the matters described in the </w:t>
      </w:r>
      <w:r w:rsidRPr="001740AF">
        <w:rPr>
          <w:rFonts w:asciiTheme="majorHAnsi" w:eastAsiaTheme="minorHAnsi" w:hAnsiTheme="majorHAnsi" w:cstheme="majorHAnsi"/>
          <w:i/>
          <w:iCs/>
          <w:color w:val="auto"/>
          <w:spacing w:val="4"/>
          <w:sz w:val="22"/>
          <w:szCs w:val="22"/>
          <w:lang w:bidi="ar-SA"/>
        </w:rPr>
        <w:t>Basis for Qualified Conclusion</w:t>
      </w:r>
      <w:r w:rsidRPr="008F7F47">
        <w:rPr>
          <w:rFonts w:asciiTheme="majorHAnsi" w:eastAsiaTheme="minorHAnsi" w:hAnsiTheme="majorHAnsi" w:cstheme="majorHAnsi"/>
          <w:color w:val="auto"/>
          <w:spacing w:val="4"/>
          <w:sz w:val="22"/>
          <w:szCs w:val="22"/>
          <w:lang w:bidi="ar-SA"/>
        </w:rPr>
        <w:t xml:space="preserve"> on the Interim Financial Information section of my report. 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8A91DC5" w14:textId="77777777" w:rsidR="008F7F47" w:rsidRPr="008F7F47" w:rsidRDefault="008F7F47" w:rsidP="004861AB">
      <w:pPr>
        <w:pStyle w:val="Default"/>
        <w:jc w:val="thaiDistribute"/>
        <w:rPr>
          <w:rFonts w:asciiTheme="majorHAnsi" w:hAnsiTheme="majorHAnsi" w:cstheme="minorBidi"/>
          <w:sz w:val="22"/>
          <w:szCs w:val="28"/>
        </w:rPr>
      </w:pPr>
    </w:p>
    <w:p w14:paraId="51CF4399" w14:textId="0CC61083" w:rsidR="00AF0BF5" w:rsidRDefault="00AF14F2" w:rsidP="003A3AFC">
      <w:pPr>
        <w:spacing w:line="240" w:lineRule="auto"/>
        <w:rPr>
          <w:rFonts w:asciiTheme="majorHAnsi" w:eastAsia="Cordia New" w:hAnsiTheme="majorHAnsi" w:cstheme="majorHAnsi"/>
          <w:b/>
          <w:bCs/>
          <w:color w:val="auto"/>
          <w:sz w:val="22"/>
          <w:szCs w:val="22"/>
          <w:lang w:eastAsia="zh-CN"/>
        </w:rPr>
      </w:pPr>
      <w:r w:rsidRPr="00AF14F2">
        <w:rPr>
          <w:rFonts w:asciiTheme="majorHAnsi" w:eastAsia="Cordia New" w:hAnsiTheme="majorHAnsi" w:cstheme="majorHAnsi"/>
          <w:b/>
          <w:bCs/>
          <w:color w:val="auto"/>
          <w:sz w:val="22"/>
          <w:szCs w:val="22"/>
          <w:lang w:eastAsia="zh-CN"/>
        </w:rPr>
        <w:t xml:space="preserve">Basis for Qualified </w:t>
      </w:r>
      <w:r>
        <w:rPr>
          <w:rFonts w:asciiTheme="majorHAnsi" w:eastAsia="Cordia New" w:hAnsiTheme="majorHAnsi" w:cstheme="majorHAnsi"/>
          <w:b/>
          <w:bCs/>
          <w:color w:val="auto"/>
          <w:sz w:val="22"/>
          <w:szCs w:val="22"/>
          <w:lang w:eastAsia="zh-CN"/>
        </w:rPr>
        <w:t>Con</w:t>
      </w:r>
      <w:r w:rsidR="0053702E">
        <w:rPr>
          <w:rFonts w:asciiTheme="majorHAnsi" w:eastAsia="Cordia New" w:hAnsiTheme="majorHAnsi" w:cstheme="majorHAnsi"/>
          <w:b/>
          <w:bCs/>
          <w:color w:val="auto"/>
          <w:sz w:val="22"/>
          <w:szCs w:val="22"/>
          <w:lang w:eastAsia="zh-CN"/>
        </w:rPr>
        <w:t xml:space="preserve">clusion </w:t>
      </w:r>
      <w:r w:rsidRPr="00AF14F2">
        <w:rPr>
          <w:rFonts w:asciiTheme="majorHAnsi" w:eastAsia="Cordia New" w:hAnsiTheme="majorHAnsi" w:cstheme="majorHAnsi"/>
          <w:b/>
          <w:bCs/>
          <w:color w:val="auto"/>
          <w:sz w:val="22"/>
          <w:szCs w:val="22"/>
          <w:lang w:eastAsia="zh-CN"/>
        </w:rPr>
        <w:t xml:space="preserve">on the </w:t>
      </w:r>
      <w:r w:rsidR="00AC0211">
        <w:rPr>
          <w:rFonts w:asciiTheme="majorHAnsi" w:eastAsia="Cordia New" w:hAnsiTheme="majorHAnsi" w:cstheme="majorHAnsi"/>
          <w:b/>
          <w:bCs/>
          <w:color w:val="auto"/>
          <w:sz w:val="22"/>
          <w:szCs w:val="22"/>
          <w:lang w:eastAsia="zh-CN"/>
        </w:rPr>
        <w:t xml:space="preserve">Interim </w:t>
      </w:r>
      <w:r w:rsidRPr="00AF14F2">
        <w:rPr>
          <w:rFonts w:asciiTheme="majorHAnsi" w:eastAsia="Cordia New" w:hAnsiTheme="majorHAnsi" w:cstheme="majorHAnsi"/>
          <w:b/>
          <w:bCs/>
          <w:color w:val="auto"/>
          <w:sz w:val="22"/>
          <w:szCs w:val="22"/>
          <w:lang w:eastAsia="zh-CN"/>
        </w:rPr>
        <w:t xml:space="preserve">Financial </w:t>
      </w:r>
      <w:r w:rsidR="00AC0211">
        <w:rPr>
          <w:rFonts w:asciiTheme="majorHAnsi" w:eastAsia="Cordia New" w:hAnsiTheme="majorHAnsi" w:cstheme="majorHAnsi"/>
          <w:b/>
          <w:bCs/>
          <w:color w:val="auto"/>
          <w:sz w:val="22"/>
          <w:szCs w:val="22"/>
          <w:lang w:eastAsia="zh-CN"/>
        </w:rPr>
        <w:t xml:space="preserve">Information </w:t>
      </w:r>
    </w:p>
    <w:p w14:paraId="02B0D43B" w14:textId="77777777" w:rsidR="00AF0BF5" w:rsidRDefault="00AF0BF5" w:rsidP="003A3AFC">
      <w:pPr>
        <w:spacing w:line="240" w:lineRule="auto"/>
        <w:rPr>
          <w:rFonts w:asciiTheme="majorHAnsi" w:eastAsia="Cordia New" w:hAnsiTheme="majorHAnsi" w:cstheme="majorHAnsi"/>
          <w:b/>
          <w:bCs/>
          <w:color w:val="auto"/>
          <w:sz w:val="22"/>
          <w:szCs w:val="22"/>
          <w:lang w:eastAsia="zh-CN"/>
        </w:rPr>
      </w:pPr>
    </w:p>
    <w:p w14:paraId="0669DA8C" w14:textId="337A3DC4" w:rsidR="0091301E" w:rsidRDefault="0091301E" w:rsidP="000208D7">
      <w:pPr>
        <w:numPr>
          <w:ilvl w:val="0"/>
          <w:numId w:val="2"/>
        </w:numPr>
        <w:spacing w:line="240" w:lineRule="auto"/>
        <w:ind w:left="450"/>
        <w:jc w:val="thaiDistribute"/>
        <w:rPr>
          <w:rFonts w:asciiTheme="majorHAnsi" w:eastAsia="Cordia New" w:hAnsiTheme="majorHAnsi" w:cstheme="majorHAnsi"/>
          <w:color w:val="auto"/>
          <w:sz w:val="22"/>
          <w:szCs w:val="22"/>
          <w:lang w:eastAsia="zh-CN"/>
        </w:rPr>
      </w:pPr>
      <w:r w:rsidRPr="0091301E">
        <w:rPr>
          <w:rFonts w:asciiTheme="majorHAnsi" w:eastAsia="Cordia New" w:hAnsiTheme="majorHAnsi" w:cstheme="majorHAnsi"/>
          <w:color w:val="auto"/>
          <w:sz w:val="22"/>
          <w:szCs w:val="22"/>
          <w:lang w:eastAsia="zh-CN"/>
        </w:rPr>
        <w:t xml:space="preserve">As described in Note </w:t>
      </w:r>
      <w:r w:rsidR="009D6972" w:rsidRPr="00A301B5">
        <w:rPr>
          <w:rFonts w:asciiTheme="majorHAnsi" w:eastAsia="Cordia New" w:hAnsiTheme="majorHAnsi" w:cstheme="majorHAnsi"/>
          <w:color w:val="auto"/>
          <w:sz w:val="22"/>
          <w:szCs w:val="22"/>
          <w:lang w:eastAsia="zh-CN"/>
        </w:rPr>
        <w:t>9.2</w:t>
      </w:r>
      <w:r w:rsidRPr="0091301E">
        <w:rPr>
          <w:rFonts w:asciiTheme="majorHAnsi" w:eastAsia="Cordia New" w:hAnsiTheme="majorHAnsi" w:cstheme="majorHAnsi"/>
          <w:color w:val="auto"/>
          <w:sz w:val="22"/>
          <w:szCs w:val="22"/>
          <w:lang w:eastAsia="zh-CN"/>
        </w:rPr>
        <w:t xml:space="preserve"> to the </w:t>
      </w:r>
      <w:r w:rsidR="005C0691">
        <w:rPr>
          <w:rFonts w:asciiTheme="majorHAnsi" w:eastAsia="Cordia New" w:hAnsiTheme="majorHAnsi" w:cstheme="majorHAnsi"/>
          <w:color w:val="auto"/>
          <w:sz w:val="22"/>
          <w:szCs w:val="22"/>
          <w:lang w:eastAsia="zh-CN"/>
        </w:rPr>
        <w:t xml:space="preserve">interim </w:t>
      </w:r>
      <w:r w:rsidRPr="0091301E">
        <w:rPr>
          <w:rFonts w:asciiTheme="majorHAnsi" w:eastAsia="Cordia New" w:hAnsiTheme="majorHAnsi" w:cstheme="majorHAnsi"/>
          <w:color w:val="auto"/>
          <w:sz w:val="22"/>
          <w:szCs w:val="22"/>
          <w:lang w:eastAsia="zh-CN"/>
        </w:rPr>
        <w:t xml:space="preserve">financial </w:t>
      </w:r>
      <w:r w:rsidR="00865262" w:rsidRPr="00865262">
        <w:rPr>
          <w:rFonts w:asciiTheme="majorHAnsi" w:eastAsia="Cordia New" w:hAnsiTheme="majorHAnsi" w:cstheme="majorHAnsi"/>
          <w:color w:val="auto"/>
          <w:sz w:val="22"/>
          <w:szCs w:val="22"/>
          <w:lang w:eastAsia="zh-CN"/>
        </w:rPr>
        <w:t>information</w:t>
      </w:r>
      <w:r w:rsidRPr="0091301E">
        <w:rPr>
          <w:rFonts w:asciiTheme="majorHAnsi" w:eastAsia="Cordia New" w:hAnsiTheme="majorHAnsi" w:cstheme="majorHAnsi"/>
          <w:color w:val="auto"/>
          <w:sz w:val="22"/>
          <w:szCs w:val="22"/>
          <w:lang w:eastAsia="zh-CN"/>
        </w:rPr>
        <w:t>, in August 2024, the Company's Executive Committee Meeting passed a resolution approving the disposal of all investment</w:t>
      </w:r>
      <w:r w:rsidR="00E87349">
        <w:rPr>
          <w:rFonts w:asciiTheme="majorHAnsi" w:eastAsia="Cordia New" w:hAnsiTheme="majorHAnsi" w:cstheme="majorHAnsi"/>
          <w:color w:val="auto"/>
          <w:sz w:val="22"/>
          <w:szCs w:val="22"/>
          <w:lang w:eastAsia="zh-CN"/>
        </w:rPr>
        <w:t>s</w:t>
      </w:r>
      <w:r w:rsidRPr="0091301E">
        <w:rPr>
          <w:rFonts w:asciiTheme="majorHAnsi" w:eastAsia="Cordia New" w:hAnsiTheme="majorHAnsi" w:cstheme="majorHAnsi"/>
          <w:color w:val="auto"/>
          <w:sz w:val="22"/>
          <w:szCs w:val="22"/>
          <w:lang w:eastAsia="zh-CN"/>
        </w:rPr>
        <w:t xml:space="preserve"> in Boosted NRF Corp.</w:t>
      </w:r>
      <w:r w:rsidRPr="0091301E">
        <w:rPr>
          <w:rFonts w:asciiTheme="majorHAnsi" w:eastAsia="Cordia New" w:hAnsiTheme="majorHAnsi" w:cstheme="majorHAnsi"/>
          <w:color w:val="auto"/>
          <w:sz w:val="22"/>
          <w:szCs w:val="22"/>
          <w:cs/>
          <w:lang w:eastAsia="zh-CN" w:bidi="th-TH"/>
        </w:rPr>
        <w:t xml:space="preserve"> </w:t>
      </w:r>
      <w:r w:rsidRPr="0091301E">
        <w:rPr>
          <w:rFonts w:asciiTheme="majorHAnsi" w:eastAsia="Cordia New" w:hAnsiTheme="majorHAnsi" w:cstheme="majorHAnsi"/>
          <w:color w:val="auto"/>
          <w:sz w:val="22"/>
          <w:szCs w:val="22"/>
          <w:lang w:eastAsia="zh-CN"/>
        </w:rPr>
        <w:t>(“BNRF”), a subsidiary incorporated in the United States of America and held by a subsidiary in Thailand (NRF Consumer Co., Ltd. "the subsidiary") to a related overseas company ("the buyer"). The consideration for the disposal consisted of cash, a promissory note and newly issued ordinary shares of the buyer. The subsidiary entered into a share purchase agreement on 30 September 2024 and received a promissory note amounting to USD 6 million and 3,640,763 newly issued ordinary shares of the buyer amounting to USD 12 million on the same date. Moreover, the subsidiary received a net cash amount of USD 0.85 million on 1 October 2024</w:t>
      </w:r>
      <w:r w:rsidR="001D5787">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 </w:t>
      </w:r>
      <w:r w:rsidR="001D5787">
        <w:rPr>
          <w:rFonts w:asciiTheme="majorHAnsi" w:eastAsia="Cordia New" w:hAnsiTheme="majorHAnsi" w:cstheme="majorHAnsi"/>
          <w:color w:val="auto"/>
          <w:sz w:val="22"/>
          <w:szCs w:val="22"/>
          <w:lang w:eastAsia="zh-CN"/>
        </w:rPr>
        <w:t>T</w:t>
      </w:r>
      <w:r w:rsidRPr="0091301E">
        <w:rPr>
          <w:rFonts w:asciiTheme="majorHAnsi" w:eastAsia="Cordia New" w:hAnsiTheme="majorHAnsi" w:cstheme="majorHAnsi"/>
          <w:color w:val="auto"/>
          <w:sz w:val="22"/>
          <w:szCs w:val="22"/>
          <w:lang w:eastAsia="zh-CN"/>
        </w:rPr>
        <w:t>he investment value</w:t>
      </w:r>
      <w:r w:rsidR="001D5787">
        <w:rPr>
          <w:rFonts w:asciiTheme="majorHAnsi" w:eastAsia="Cordia New" w:hAnsiTheme="majorHAnsi" w:cstheme="majorHAnsi"/>
          <w:color w:val="auto"/>
          <w:sz w:val="22"/>
          <w:szCs w:val="22"/>
          <w:lang w:eastAsia="zh-CN"/>
        </w:rPr>
        <w:t xml:space="preserve"> of</w:t>
      </w:r>
      <w:r w:rsidR="001D5787" w:rsidRPr="0091301E">
        <w:rPr>
          <w:rFonts w:asciiTheme="majorHAnsi" w:eastAsia="Cordia New" w:hAnsiTheme="majorHAnsi" w:cstheme="majorHAnsi"/>
          <w:color w:val="auto"/>
          <w:sz w:val="22"/>
          <w:szCs w:val="22"/>
          <w:lang w:eastAsia="zh-CN"/>
        </w:rPr>
        <w:t xml:space="preserve"> USD 12 million</w:t>
      </w:r>
      <w:r w:rsidRPr="0091301E">
        <w:rPr>
          <w:rFonts w:asciiTheme="majorHAnsi" w:eastAsia="Cordia New" w:hAnsiTheme="majorHAnsi" w:cstheme="majorHAnsi"/>
          <w:color w:val="auto"/>
          <w:sz w:val="22"/>
          <w:szCs w:val="22"/>
          <w:lang w:eastAsia="zh-CN"/>
        </w:rPr>
        <w:t xml:space="preserve"> in the ordinary shares of the buyer</w:t>
      </w:r>
      <w:r w:rsidR="001D5787">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was determined by the management using the buyer’s debt to equity conversion data as a basis for sales price negotiations and closely aligned with the maximum appraised price determined using the Precedent Transaction Approach, based on similar merger </w:t>
      </w:r>
      <w:r w:rsidR="0027613A">
        <w:rPr>
          <w:rFonts w:asciiTheme="majorHAnsi" w:eastAsia="Cordia New" w:hAnsiTheme="majorHAnsi" w:cstheme="majorHAnsi"/>
          <w:color w:val="auto"/>
          <w:sz w:val="22"/>
          <w:szCs w:val="22"/>
          <w:lang w:eastAsia="zh-CN"/>
        </w:rPr>
        <w:t xml:space="preserve">and </w:t>
      </w:r>
      <w:r w:rsidRPr="0091301E">
        <w:rPr>
          <w:rFonts w:asciiTheme="majorHAnsi" w:eastAsia="Cordia New" w:hAnsiTheme="majorHAnsi" w:cstheme="majorHAnsi"/>
          <w:color w:val="auto"/>
          <w:sz w:val="22"/>
          <w:szCs w:val="22"/>
          <w:lang w:eastAsia="zh-CN"/>
        </w:rPr>
        <w:t xml:space="preserve">acquisition transactions in the same industry in the past </w:t>
      </w:r>
      <w:r w:rsidR="004273D2">
        <w:rPr>
          <w:rFonts w:asciiTheme="majorHAnsi" w:eastAsia="Cordia New" w:hAnsiTheme="majorHAnsi" w:cstheme="majorHAnsi"/>
          <w:color w:val="auto"/>
          <w:sz w:val="22"/>
          <w:szCs w:val="22"/>
          <w:lang w:eastAsia="zh-CN"/>
        </w:rPr>
        <w:t xml:space="preserve">for </w:t>
      </w:r>
      <w:r w:rsidRPr="0091301E">
        <w:rPr>
          <w:rFonts w:asciiTheme="majorHAnsi" w:eastAsia="Cordia New" w:hAnsiTheme="majorHAnsi" w:cstheme="majorHAnsi"/>
          <w:color w:val="auto"/>
          <w:sz w:val="22"/>
          <w:szCs w:val="22"/>
          <w:lang w:eastAsia="zh-CN"/>
        </w:rPr>
        <w:t xml:space="preserve">which the management engaged an independent appraiser </w:t>
      </w:r>
      <w:r w:rsidR="004273D2">
        <w:rPr>
          <w:rFonts w:asciiTheme="majorHAnsi" w:eastAsia="Cordia New" w:hAnsiTheme="majorHAnsi" w:cstheme="majorHAnsi"/>
          <w:color w:val="auto"/>
          <w:sz w:val="22"/>
          <w:szCs w:val="22"/>
          <w:lang w:eastAsia="zh-CN"/>
        </w:rPr>
        <w:t>to</w:t>
      </w:r>
      <w:r w:rsidRPr="0091301E">
        <w:rPr>
          <w:rFonts w:asciiTheme="majorHAnsi" w:eastAsia="Cordia New" w:hAnsiTheme="majorHAnsi" w:cstheme="majorHAnsi"/>
          <w:color w:val="auto"/>
          <w:sz w:val="22"/>
          <w:szCs w:val="22"/>
          <w:lang w:eastAsia="zh-CN"/>
        </w:rPr>
        <w:t xml:space="preserve"> conduct several valuation methods. The Group recorded the sale of the investment in BNRF and recognised a gain </w:t>
      </w:r>
      <w:r w:rsidR="004273D2">
        <w:rPr>
          <w:rFonts w:asciiTheme="majorHAnsi" w:eastAsia="Cordia New" w:hAnsiTheme="majorHAnsi" w:cstheme="majorHAnsi"/>
          <w:color w:val="auto"/>
          <w:sz w:val="22"/>
          <w:szCs w:val="22"/>
          <w:lang w:eastAsia="zh-CN"/>
        </w:rPr>
        <w:t>on</w:t>
      </w:r>
      <w:r w:rsidRPr="0091301E">
        <w:rPr>
          <w:rFonts w:asciiTheme="majorHAnsi" w:eastAsia="Cordia New" w:hAnsiTheme="majorHAnsi" w:cstheme="majorHAnsi"/>
          <w:color w:val="auto"/>
          <w:sz w:val="22"/>
          <w:szCs w:val="22"/>
          <w:lang w:eastAsia="zh-CN"/>
        </w:rPr>
        <w:t xml:space="preserve"> sale of Baht 103.15 million in profit or loss in the consolidated financial statements for the year ended 31 December 2024.</w:t>
      </w:r>
    </w:p>
    <w:p w14:paraId="08AC07CC" w14:textId="77777777" w:rsidR="0091301E" w:rsidRPr="0091301E" w:rsidRDefault="0091301E" w:rsidP="000208D7">
      <w:pPr>
        <w:spacing w:line="240" w:lineRule="auto"/>
        <w:ind w:left="450"/>
        <w:rPr>
          <w:rFonts w:asciiTheme="majorHAnsi" w:eastAsia="Cordia New" w:hAnsiTheme="majorHAnsi" w:cstheme="majorHAnsi"/>
          <w:color w:val="auto"/>
          <w:sz w:val="22"/>
          <w:szCs w:val="22"/>
          <w:lang w:eastAsia="zh-CN"/>
        </w:rPr>
      </w:pPr>
    </w:p>
    <w:p w14:paraId="47A99664" w14:textId="77777777" w:rsidR="00066FBA" w:rsidRDefault="00066FBA" w:rsidP="000208D7">
      <w:pPr>
        <w:spacing w:line="240" w:lineRule="auto"/>
        <w:ind w:left="450"/>
        <w:rPr>
          <w:rFonts w:asciiTheme="majorHAnsi" w:eastAsia="Cordia New" w:hAnsiTheme="majorHAnsi" w:cstheme="majorHAnsi"/>
          <w:color w:val="auto"/>
          <w:sz w:val="22"/>
          <w:szCs w:val="22"/>
          <w:lang w:eastAsia="zh-CN"/>
        </w:rPr>
      </w:pPr>
    </w:p>
    <w:p w14:paraId="76C78AA4" w14:textId="77777777" w:rsidR="00D71E86" w:rsidRDefault="00D71E86" w:rsidP="003828C3">
      <w:pPr>
        <w:tabs>
          <w:tab w:val="left" w:pos="3935"/>
        </w:tabs>
        <w:rPr>
          <w:rFonts w:asciiTheme="majorHAnsi" w:eastAsia="Cordia New" w:hAnsiTheme="majorHAnsi" w:cstheme="majorHAnsi"/>
          <w:sz w:val="22"/>
          <w:szCs w:val="22"/>
          <w:lang w:eastAsia="zh-CN"/>
        </w:rPr>
        <w:sectPr w:rsidR="00D71E86" w:rsidSect="00C87AD8">
          <w:headerReference w:type="even" r:id="rId11"/>
          <w:headerReference w:type="default" r:id="rId12"/>
          <w:footerReference w:type="default" r:id="rId13"/>
          <w:headerReference w:type="first" r:id="rId14"/>
          <w:footerReference w:type="first" r:id="rId15"/>
          <w:pgSz w:w="11900" w:h="16840" w:code="9"/>
          <w:pgMar w:top="2736" w:right="1080" w:bottom="1080" w:left="1728" w:header="720" w:footer="288" w:gutter="0"/>
          <w:cols w:space="708"/>
          <w:titlePg/>
          <w:docGrid w:linePitch="326"/>
        </w:sectPr>
      </w:pPr>
    </w:p>
    <w:p w14:paraId="25F1CF2E" w14:textId="59B1C575" w:rsidR="0091301E" w:rsidRDefault="0091301E" w:rsidP="000208D7">
      <w:pPr>
        <w:spacing w:line="240" w:lineRule="auto"/>
        <w:ind w:left="450"/>
        <w:jc w:val="thaiDistribute"/>
        <w:rPr>
          <w:rFonts w:asciiTheme="majorHAnsi" w:eastAsia="Cordia New" w:hAnsiTheme="majorHAnsi" w:cstheme="majorHAnsi"/>
          <w:color w:val="auto"/>
          <w:sz w:val="22"/>
          <w:szCs w:val="22"/>
          <w:lang w:eastAsia="zh-CN"/>
        </w:rPr>
      </w:pPr>
      <w:r w:rsidRPr="0091301E">
        <w:rPr>
          <w:rFonts w:asciiTheme="majorHAnsi" w:eastAsia="Cordia New" w:hAnsiTheme="majorHAnsi" w:cstheme="majorHAnsi"/>
          <w:color w:val="auto"/>
          <w:sz w:val="22"/>
          <w:szCs w:val="22"/>
          <w:lang w:eastAsia="zh-CN"/>
        </w:rPr>
        <w:lastRenderedPageBreak/>
        <w:t xml:space="preserve">Furthermore, the Group adjusted the value of the investment in the shares of the buyer, totaling 2,843,142 shares, at the same price mentioned in the previous paragraph. </w:t>
      </w:r>
      <w:r w:rsidR="002E6EBA">
        <w:rPr>
          <w:rFonts w:asciiTheme="majorHAnsi" w:eastAsia="Cordia New" w:hAnsiTheme="majorHAnsi" w:cstheme="majorHAnsi"/>
          <w:color w:val="auto"/>
          <w:sz w:val="22"/>
          <w:szCs w:val="22"/>
          <w:lang w:eastAsia="zh-CN"/>
        </w:rPr>
        <w:t xml:space="preserve">For the year ended </w:t>
      </w:r>
      <w:r w:rsidRPr="0091301E">
        <w:rPr>
          <w:rFonts w:asciiTheme="majorHAnsi" w:eastAsia="Cordia New" w:hAnsiTheme="majorHAnsi" w:cstheme="majorHAnsi"/>
          <w:color w:val="auto"/>
          <w:sz w:val="22"/>
          <w:szCs w:val="22"/>
          <w:lang w:eastAsia="zh-CN"/>
        </w:rPr>
        <w:t xml:space="preserve">31 December 2024, the Group recognised a gain on changes in the value of all investments in the shares of the buyer amounting to Baht 334.46 million. The fair value measurement of the shares, both those settled by the buyer and those originally held by the Group, was derived from an undisclosed source and based on a price comparable method involving similar merger </w:t>
      </w:r>
      <w:r w:rsidR="00F22302">
        <w:rPr>
          <w:rFonts w:asciiTheme="majorHAnsi" w:eastAsia="Cordia New" w:hAnsiTheme="majorHAnsi" w:cstheme="majorHAnsi"/>
          <w:color w:val="auto"/>
          <w:sz w:val="22"/>
          <w:szCs w:val="22"/>
          <w:lang w:eastAsia="zh-CN"/>
        </w:rPr>
        <w:t xml:space="preserve">and </w:t>
      </w:r>
      <w:r w:rsidRPr="0091301E">
        <w:rPr>
          <w:rFonts w:asciiTheme="majorHAnsi" w:eastAsia="Cordia New" w:hAnsiTheme="majorHAnsi" w:cstheme="majorHAnsi"/>
          <w:color w:val="auto"/>
          <w:sz w:val="22"/>
          <w:szCs w:val="22"/>
          <w:lang w:eastAsia="zh-CN"/>
        </w:rPr>
        <w:t xml:space="preserve"> acquisition transactions in the same industry in the past. The Group ha</w:t>
      </w:r>
      <w:r w:rsidR="00856BB7">
        <w:rPr>
          <w:rFonts w:asciiTheme="majorHAnsi" w:eastAsia="Cordia New" w:hAnsiTheme="majorHAnsi" w:cstheme="majorHAnsi"/>
          <w:color w:val="auto"/>
          <w:sz w:val="22"/>
          <w:szCs w:val="22"/>
          <w:lang w:eastAsia="zh-CN"/>
        </w:rPr>
        <w:t>d</w:t>
      </w:r>
      <w:r w:rsidRPr="0091301E">
        <w:rPr>
          <w:rFonts w:asciiTheme="majorHAnsi" w:eastAsia="Cordia New" w:hAnsiTheme="majorHAnsi" w:cstheme="majorHAnsi"/>
          <w:color w:val="auto"/>
          <w:sz w:val="22"/>
          <w:szCs w:val="22"/>
          <w:lang w:eastAsia="zh-CN"/>
        </w:rPr>
        <w:t xml:space="preserve"> not conducted a fair value assessment through an independent appraiser applying a valuation method that directly reflects the operating results and cash flows from the business of the buyer. </w:t>
      </w:r>
    </w:p>
    <w:p w14:paraId="307005CC" w14:textId="77777777" w:rsidR="003C77C2" w:rsidRPr="0091301E" w:rsidRDefault="003C77C2" w:rsidP="000208D7">
      <w:pPr>
        <w:spacing w:line="240" w:lineRule="auto"/>
        <w:ind w:left="450"/>
        <w:rPr>
          <w:rFonts w:asciiTheme="majorHAnsi" w:eastAsia="Cordia New" w:hAnsiTheme="majorHAnsi" w:cstheme="majorHAnsi"/>
          <w:color w:val="auto"/>
          <w:sz w:val="22"/>
          <w:szCs w:val="22"/>
          <w:lang w:eastAsia="zh-CN"/>
        </w:rPr>
      </w:pPr>
    </w:p>
    <w:p w14:paraId="1C642386" w14:textId="6F374097" w:rsidR="00FD75C8" w:rsidRDefault="0091301E" w:rsidP="000208D7">
      <w:pPr>
        <w:spacing w:line="240" w:lineRule="auto"/>
        <w:ind w:left="450"/>
        <w:jc w:val="thaiDistribute"/>
        <w:rPr>
          <w:rFonts w:asciiTheme="majorHAnsi" w:eastAsia="Cordia New" w:hAnsiTheme="majorHAnsi" w:cstheme="majorHAnsi"/>
          <w:color w:val="auto"/>
          <w:sz w:val="22"/>
          <w:szCs w:val="22"/>
          <w:lang w:eastAsia="zh-CN"/>
        </w:rPr>
      </w:pPr>
      <w:r w:rsidRPr="0091301E">
        <w:rPr>
          <w:rFonts w:asciiTheme="majorHAnsi" w:eastAsia="Cordia New" w:hAnsiTheme="majorHAnsi" w:cstheme="majorHAnsi"/>
          <w:color w:val="auto"/>
          <w:sz w:val="22"/>
          <w:szCs w:val="22"/>
          <w:lang w:eastAsia="zh-CN"/>
        </w:rPr>
        <w:t>Consequently, on 20 December 2024 the Group engaged an additional independent appraiser to assess the fair value of the buyer’s ordinary shares. According to the report from the new independent appraiser on 10 January 2025, given the limitations of the available information, the most appropriate method for determining the buyer’s enterprise value is the Market Comparable Approach: Price-to-Sales Ratio. The enterprise value of the buyer</w:t>
      </w:r>
      <w:r w:rsidR="00856BB7">
        <w:rPr>
          <w:rFonts w:asciiTheme="majorHAnsi" w:eastAsia="Cordia New" w:hAnsiTheme="majorHAnsi" w:cstheme="majorHAnsi"/>
          <w:color w:val="auto"/>
          <w:sz w:val="22"/>
          <w:szCs w:val="22"/>
          <w:lang w:eastAsia="zh-CN"/>
        </w:rPr>
        <w:t xml:space="preserve"> as a whole</w:t>
      </w:r>
      <w:r w:rsidRPr="0091301E">
        <w:rPr>
          <w:rFonts w:asciiTheme="majorHAnsi" w:eastAsia="Cordia New" w:hAnsiTheme="majorHAnsi" w:cstheme="majorHAnsi"/>
          <w:color w:val="auto"/>
          <w:sz w:val="22"/>
          <w:szCs w:val="22"/>
          <w:lang w:eastAsia="zh-CN"/>
        </w:rPr>
        <w:t>, as assessed by the new independent appraiser, was Baht 12,616 million, or approximately USD 393 million (USD 2.35 per share). The new independent appraiser's assessment ha</w:t>
      </w:r>
      <w:r w:rsidR="00856BB7">
        <w:rPr>
          <w:rFonts w:asciiTheme="majorHAnsi" w:eastAsia="Cordia New" w:hAnsiTheme="majorHAnsi" w:cstheme="majorHAnsi"/>
          <w:color w:val="auto"/>
          <w:sz w:val="22"/>
          <w:szCs w:val="22"/>
          <w:lang w:eastAsia="zh-CN"/>
        </w:rPr>
        <w:t>d</w:t>
      </w:r>
      <w:r w:rsidRPr="0091301E">
        <w:rPr>
          <w:rFonts w:asciiTheme="majorHAnsi" w:eastAsia="Cordia New" w:hAnsiTheme="majorHAnsi" w:cstheme="majorHAnsi"/>
          <w:color w:val="auto"/>
          <w:sz w:val="22"/>
          <w:szCs w:val="22"/>
          <w:lang w:eastAsia="zh-CN"/>
        </w:rPr>
        <w:t xml:space="preserve"> limitations based on the underlying data that the Group could provide to the appraiser. The buyer is a limited liability company registered in the United States. Furthermore, the Group holds only a 4% equity interest with voting rights in the buyer and, as such, has no control or authority to obtain </w:t>
      </w:r>
      <w:r w:rsidR="00277046">
        <w:rPr>
          <w:rFonts w:asciiTheme="majorHAnsi" w:eastAsia="Cordia New" w:hAnsiTheme="majorHAnsi" w:cstheme="majorHAnsi"/>
          <w:color w:val="auto"/>
          <w:sz w:val="22"/>
          <w:szCs w:val="22"/>
          <w:lang w:eastAsia="zh-CN"/>
        </w:rPr>
        <w:t xml:space="preserve">the </w:t>
      </w:r>
      <w:r w:rsidRPr="0091301E">
        <w:rPr>
          <w:rFonts w:asciiTheme="majorHAnsi" w:eastAsia="Cordia New" w:hAnsiTheme="majorHAnsi" w:cstheme="majorHAnsi"/>
          <w:color w:val="auto"/>
          <w:sz w:val="22"/>
          <w:szCs w:val="22"/>
          <w:lang w:eastAsia="zh-CN"/>
        </w:rPr>
        <w:t xml:space="preserve">latest </w:t>
      </w:r>
      <w:r w:rsidR="00235FA4">
        <w:rPr>
          <w:rFonts w:asciiTheme="majorHAnsi" w:eastAsia="Cordia New" w:hAnsiTheme="majorHAnsi" w:cstheme="majorHAnsi"/>
          <w:color w:val="auto"/>
          <w:sz w:val="22"/>
          <w:szCs w:val="22"/>
          <w:lang w:eastAsia="zh-CN"/>
        </w:rPr>
        <w:t xml:space="preserve">audited </w:t>
      </w:r>
      <w:r w:rsidRPr="0091301E">
        <w:rPr>
          <w:rFonts w:asciiTheme="majorHAnsi" w:eastAsia="Cordia New" w:hAnsiTheme="majorHAnsi" w:cstheme="majorHAnsi"/>
          <w:color w:val="auto"/>
          <w:sz w:val="22"/>
          <w:szCs w:val="22"/>
          <w:lang w:eastAsia="zh-CN"/>
        </w:rPr>
        <w:t xml:space="preserve">financial statements or other necessary information for the valuation. Due to these limitations in access to information required for the new valuation, the Group has decided not to use the valuation data from the report dated 10 January 2025, which the Group engaged new assessment, and has maintained the recorded value of its investment in the buyer’s ordinary shares in the consolidated financial statements for year ended 31 December 2024, at the original value as assessed by the initial appraiser. </w:t>
      </w:r>
      <w:r w:rsidR="00A20DA0">
        <w:rPr>
          <w:rFonts w:asciiTheme="majorHAnsi" w:eastAsia="Cordia New" w:hAnsiTheme="majorHAnsi" w:cstheme="majorHAnsi"/>
          <w:color w:val="auto"/>
          <w:sz w:val="22"/>
          <w:szCs w:val="22"/>
          <w:lang w:eastAsia="zh-CN"/>
        </w:rPr>
        <w:t xml:space="preserve"> </w:t>
      </w:r>
      <w:r w:rsidR="00F663FD">
        <w:rPr>
          <w:rFonts w:asciiTheme="majorHAnsi" w:eastAsia="Cordia New" w:hAnsiTheme="majorHAnsi" w:cstheme="majorHAnsi"/>
          <w:color w:val="auto"/>
          <w:sz w:val="22"/>
          <w:szCs w:val="22"/>
          <w:lang w:eastAsia="zh-CN"/>
        </w:rPr>
        <w:t xml:space="preserve">During the three- month period ended 31 March 2025, the account balance for the investment in shares in the buyer did not change. </w:t>
      </w:r>
      <w:r w:rsidRPr="0091301E">
        <w:rPr>
          <w:rFonts w:asciiTheme="majorHAnsi" w:eastAsia="Cordia New" w:hAnsiTheme="majorHAnsi" w:cstheme="majorHAnsi"/>
          <w:color w:val="auto"/>
          <w:sz w:val="22"/>
          <w:szCs w:val="22"/>
          <w:lang w:eastAsia="zh-CN"/>
        </w:rPr>
        <w:t xml:space="preserve">Given the aforementioned situation with the limitations for the valuation, I do not have sufficient information to </w:t>
      </w:r>
      <w:r w:rsidR="00186433">
        <w:rPr>
          <w:rFonts w:asciiTheme="majorHAnsi" w:eastAsia="Cordia New" w:hAnsiTheme="majorHAnsi" w:cstheme="majorHAnsi"/>
          <w:color w:val="auto"/>
          <w:sz w:val="22"/>
          <w:szCs w:val="22"/>
          <w:lang w:eastAsia="zh-CN"/>
        </w:rPr>
        <w:t>assess</w:t>
      </w:r>
      <w:r w:rsidR="00885CAF" w:rsidRPr="0091301E">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the fair value or to apply other </w:t>
      </w:r>
      <w:r w:rsidRPr="0091301E">
        <w:rPr>
          <w:rFonts w:asciiTheme="majorHAnsi" w:eastAsia="Cordia New" w:hAnsiTheme="majorHAnsi" w:cstheme="majorHAnsi"/>
          <w:color w:val="auto"/>
          <w:sz w:val="22"/>
          <w:szCs w:val="22"/>
          <w:lang w:val="en-GB" w:eastAsia="zh-CN"/>
        </w:rPr>
        <w:t xml:space="preserve">procedures to satisfy myself as to </w:t>
      </w:r>
      <w:r w:rsidRPr="0091301E">
        <w:rPr>
          <w:rFonts w:asciiTheme="majorHAnsi" w:eastAsia="Cordia New" w:hAnsiTheme="majorHAnsi" w:cstheme="majorHAnsi"/>
          <w:color w:val="auto"/>
          <w:sz w:val="22"/>
          <w:szCs w:val="22"/>
          <w:lang w:eastAsia="zh-CN"/>
        </w:rPr>
        <w:t xml:space="preserve">the </w:t>
      </w:r>
      <w:r w:rsidR="00F663FD">
        <w:rPr>
          <w:rFonts w:asciiTheme="majorHAnsi" w:eastAsia="Cordia New" w:hAnsiTheme="majorHAnsi" w:cstheme="majorHAnsi"/>
          <w:color w:val="auto"/>
          <w:sz w:val="22"/>
          <w:szCs w:val="22"/>
          <w:lang w:eastAsia="zh-CN"/>
        </w:rPr>
        <w:t xml:space="preserve">fair </w:t>
      </w:r>
      <w:r w:rsidRPr="0091301E">
        <w:rPr>
          <w:rFonts w:asciiTheme="majorHAnsi" w:eastAsia="Cordia New" w:hAnsiTheme="majorHAnsi" w:cstheme="majorHAnsi"/>
          <w:color w:val="auto"/>
          <w:sz w:val="22"/>
          <w:szCs w:val="22"/>
          <w:lang w:eastAsia="zh-CN"/>
        </w:rPr>
        <w:t xml:space="preserve">value </w:t>
      </w:r>
      <w:r w:rsidR="00F663FD">
        <w:rPr>
          <w:rFonts w:asciiTheme="majorHAnsi" w:eastAsia="Cordia New" w:hAnsiTheme="majorHAnsi" w:cstheme="majorHAnsi"/>
          <w:color w:val="auto"/>
          <w:sz w:val="22"/>
          <w:szCs w:val="22"/>
          <w:lang w:eastAsia="zh-CN"/>
        </w:rPr>
        <w:t xml:space="preserve">of the </w:t>
      </w:r>
      <w:r w:rsidR="00F663FD" w:rsidRPr="0091301E">
        <w:rPr>
          <w:rFonts w:asciiTheme="majorHAnsi" w:eastAsia="Cordia New" w:hAnsiTheme="majorHAnsi" w:cstheme="majorHAnsi"/>
          <w:color w:val="auto"/>
          <w:sz w:val="22"/>
          <w:szCs w:val="22"/>
          <w:lang w:eastAsia="zh-CN"/>
        </w:rPr>
        <w:t xml:space="preserve">investment </w:t>
      </w:r>
      <w:r w:rsidRPr="0091301E">
        <w:rPr>
          <w:rFonts w:asciiTheme="majorHAnsi" w:eastAsia="Cordia New" w:hAnsiTheme="majorHAnsi" w:cstheme="majorHAnsi"/>
          <w:color w:val="auto"/>
          <w:sz w:val="22"/>
          <w:szCs w:val="22"/>
          <w:lang w:eastAsia="zh-CN"/>
        </w:rPr>
        <w:t>in the ordinary shares of the buyer</w:t>
      </w:r>
      <w:r w:rsidR="00FD75C8">
        <w:rPr>
          <w:rFonts w:asciiTheme="majorHAnsi" w:eastAsia="Cordia New" w:hAnsiTheme="majorHAnsi" w:cstheme="majorHAnsi"/>
          <w:color w:val="auto"/>
          <w:sz w:val="22"/>
          <w:szCs w:val="22"/>
          <w:lang w:eastAsia="zh-CN"/>
        </w:rPr>
        <w:t>.</w:t>
      </w:r>
      <w:r w:rsidR="00FD75C8" w:rsidRPr="00FD75C8">
        <w:rPr>
          <w:rFonts w:asciiTheme="majorHAnsi" w:eastAsia="Cordia New" w:hAnsiTheme="majorHAnsi" w:cstheme="majorHAnsi"/>
          <w:color w:val="auto"/>
          <w:sz w:val="22"/>
          <w:szCs w:val="22"/>
          <w:lang w:eastAsia="zh-CN"/>
        </w:rPr>
        <w:t xml:space="preserve"> </w:t>
      </w:r>
      <w:r w:rsidR="00FD75C8">
        <w:rPr>
          <w:rFonts w:asciiTheme="majorHAnsi" w:eastAsia="Cordia New" w:hAnsiTheme="majorHAnsi" w:cstheme="majorHAnsi"/>
          <w:color w:val="auto"/>
          <w:sz w:val="22"/>
          <w:szCs w:val="22"/>
          <w:lang w:eastAsia="zh-CN"/>
        </w:rPr>
        <w:t xml:space="preserve"> </w:t>
      </w:r>
    </w:p>
    <w:p w14:paraId="06A68049" w14:textId="77777777" w:rsidR="00FD75C8" w:rsidRDefault="00FD75C8" w:rsidP="000208D7">
      <w:pPr>
        <w:spacing w:line="240" w:lineRule="auto"/>
        <w:ind w:left="450"/>
        <w:jc w:val="thaiDistribute"/>
        <w:rPr>
          <w:rFonts w:asciiTheme="majorHAnsi" w:eastAsia="Cordia New" w:hAnsiTheme="majorHAnsi" w:cstheme="majorHAnsi"/>
          <w:color w:val="auto"/>
          <w:sz w:val="22"/>
          <w:szCs w:val="22"/>
          <w:lang w:eastAsia="zh-CN"/>
        </w:rPr>
      </w:pPr>
    </w:p>
    <w:p w14:paraId="0A81A517" w14:textId="65E92A42" w:rsidR="0071316A" w:rsidRDefault="0091301E" w:rsidP="008B0704">
      <w:pPr>
        <w:spacing w:line="240" w:lineRule="auto"/>
        <w:ind w:left="450"/>
        <w:jc w:val="thaiDistribute"/>
        <w:rPr>
          <w:rFonts w:asciiTheme="majorHAnsi" w:eastAsia="Cordia New" w:hAnsiTheme="majorHAnsi"/>
          <w:color w:val="auto"/>
          <w:sz w:val="22"/>
          <w:szCs w:val="28"/>
          <w:lang w:eastAsia="zh-CN" w:bidi="th-TH"/>
        </w:rPr>
      </w:pPr>
      <w:r w:rsidRPr="0091301E">
        <w:rPr>
          <w:rFonts w:asciiTheme="majorHAnsi" w:eastAsia="Cordia New" w:hAnsiTheme="majorHAnsi" w:cstheme="majorHAnsi"/>
          <w:color w:val="auto"/>
          <w:sz w:val="22"/>
          <w:szCs w:val="22"/>
          <w:lang w:val="en-GB" w:eastAsia="zh-CN"/>
        </w:rPr>
        <w:t>Consequently</w:t>
      </w:r>
      <w:r w:rsidRPr="0091301E">
        <w:rPr>
          <w:rFonts w:asciiTheme="majorHAnsi" w:eastAsia="Cordia New" w:hAnsiTheme="majorHAnsi" w:cstheme="majorHAnsi"/>
          <w:color w:val="auto"/>
          <w:sz w:val="22"/>
          <w:szCs w:val="22"/>
          <w:lang w:eastAsia="zh-CN"/>
        </w:rPr>
        <w:t>,</w:t>
      </w:r>
      <w:r w:rsidRPr="0091301E">
        <w:rPr>
          <w:rFonts w:asciiTheme="majorHAnsi" w:eastAsia="Cordia New" w:hAnsiTheme="majorHAnsi" w:cstheme="majorHAnsi" w:hint="cs"/>
          <w:color w:val="auto"/>
          <w:sz w:val="22"/>
          <w:szCs w:val="22"/>
          <w:cs/>
          <w:lang w:eastAsia="zh-CN" w:bidi="th-TH"/>
        </w:rPr>
        <w:t xml:space="preserve"> </w:t>
      </w:r>
      <w:r w:rsidR="008B0704" w:rsidRPr="008B0704">
        <w:rPr>
          <w:rFonts w:asciiTheme="majorHAnsi" w:eastAsia="Cordia New" w:hAnsiTheme="majorHAnsi" w:cstheme="majorHAnsi"/>
          <w:color w:val="auto"/>
          <w:sz w:val="22"/>
          <w:szCs w:val="22"/>
          <w:lang w:eastAsia="zh-CN"/>
        </w:rPr>
        <w:t xml:space="preserve">I am unable to determine whether it is necessary to adjust the carrying amount of the investment in the ordinary shares of the </w:t>
      </w:r>
      <w:r w:rsidR="00584747">
        <w:rPr>
          <w:rFonts w:asciiTheme="majorHAnsi" w:eastAsia="Cordia New" w:hAnsiTheme="majorHAnsi" w:cstheme="majorHAnsi"/>
          <w:color w:val="auto"/>
          <w:sz w:val="22"/>
          <w:szCs w:val="22"/>
          <w:lang w:eastAsia="zh-CN"/>
        </w:rPr>
        <w:t>buyer</w:t>
      </w:r>
      <w:r w:rsidR="008B0704" w:rsidRPr="008B0704">
        <w:rPr>
          <w:rFonts w:asciiTheme="majorHAnsi" w:eastAsia="Cordia New" w:hAnsiTheme="majorHAnsi" w:cstheme="majorHAnsi"/>
          <w:color w:val="auto"/>
          <w:sz w:val="22"/>
          <w:szCs w:val="22"/>
          <w:lang w:eastAsia="zh-CN"/>
        </w:rPr>
        <w:t xml:space="preserve">, which is recorded under other non-current financial assets in the consolidated statement of financial position as at </w:t>
      </w:r>
      <w:r w:rsidR="008B2427">
        <w:rPr>
          <w:rFonts w:asciiTheme="majorHAnsi" w:eastAsia="Cordia New" w:hAnsiTheme="majorHAnsi" w:cstheme="majorHAnsi"/>
          <w:color w:val="auto"/>
          <w:sz w:val="22"/>
          <w:szCs w:val="22"/>
          <w:lang w:eastAsia="zh-CN"/>
        </w:rPr>
        <w:t xml:space="preserve">31 </w:t>
      </w:r>
      <w:r w:rsidR="008B0704" w:rsidRPr="008B0704">
        <w:rPr>
          <w:rFonts w:asciiTheme="majorHAnsi" w:eastAsia="Cordia New" w:hAnsiTheme="majorHAnsi" w:cstheme="majorHAnsi"/>
          <w:color w:val="auto"/>
          <w:sz w:val="22"/>
          <w:szCs w:val="22"/>
          <w:lang w:eastAsia="zh-CN"/>
        </w:rPr>
        <w:t>March 2025, amounting to Baht 723.13 million</w:t>
      </w:r>
      <w:r w:rsidR="008F7129">
        <w:rPr>
          <w:rFonts w:asciiTheme="majorHAnsi" w:eastAsia="Cordia New" w:hAnsiTheme="majorHAnsi" w:cstheme="majorHAnsi"/>
          <w:color w:val="auto"/>
          <w:sz w:val="22"/>
          <w:szCs w:val="22"/>
          <w:lang w:eastAsia="zh-CN"/>
        </w:rPr>
        <w:t xml:space="preserve"> and recognised profit</w:t>
      </w:r>
      <w:r w:rsidR="00102FD5">
        <w:rPr>
          <w:rFonts w:asciiTheme="majorHAnsi" w:eastAsia="Cordia New" w:hAnsiTheme="majorHAnsi" w:cstheme="majorHAnsi"/>
          <w:color w:val="auto"/>
          <w:sz w:val="22"/>
          <w:szCs w:val="22"/>
          <w:lang w:eastAsia="zh-CN"/>
        </w:rPr>
        <w:t xml:space="preserve"> in the</w:t>
      </w:r>
      <w:r w:rsidR="009651BF">
        <w:rPr>
          <w:rFonts w:asciiTheme="majorHAnsi" w:eastAsia="Cordia New" w:hAnsiTheme="majorHAnsi" w:cstheme="majorHAnsi"/>
          <w:color w:val="auto"/>
          <w:sz w:val="22"/>
          <w:szCs w:val="22"/>
          <w:lang w:eastAsia="zh-CN"/>
        </w:rPr>
        <w:t xml:space="preserve"> total amount of Baht 437.61 million in the</w:t>
      </w:r>
      <w:r w:rsidR="00840F57">
        <w:rPr>
          <w:rFonts w:asciiTheme="majorHAnsi" w:eastAsia="Cordia New" w:hAnsiTheme="majorHAnsi" w:cstheme="majorHAnsi"/>
          <w:color w:val="auto"/>
          <w:sz w:val="22"/>
          <w:szCs w:val="22"/>
          <w:lang w:eastAsia="zh-CN"/>
        </w:rPr>
        <w:t xml:space="preserve"> opening retained earing (</w:t>
      </w:r>
      <w:r w:rsidR="00310F43">
        <w:rPr>
          <w:rFonts w:asciiTheme="majorHAnsi" w:eastAsia="Cordia New" w:hAnsiTheme="majorHAnsi" w:cstheme="majorHAnsi"/>
          <w:color w:val="auto"/>
          <w:sz w:val="22"/>
          <w:szCs w:val="22"/>
          <w:lang w:eastAsia="zh-CN"/>
        </w:rPr>
        <w:t>deficit</w:t>
      </w:r>
      <w:r w:rsidR="00840F57">
        <w:rPr>
          <w:rFonts w:asciiTheme="majorHAnsi" w:eastAsia="Cordia New" w:hAnsiTheme="majorHAnsi" w:cstheme="majorHAnsi"/>
          <w:color w:val="auto"/>
          <w:sz w:val="22"/>
          <w:szCs w:val="22"/>
          <w:lang w:eastAsia="zh-CN"/>
        </w:rPr>
        <w:t xml:space="preserve">) for the </w:t>
      </w:r>
      <w:r w:rsidR="003D3F6D">
        <w:rPr>
          <w:rFonts w:asciiTheme="majorHAnsi" w:eastAsia="Cordia New" w:hAnsiTheme="majorHAnsi" w:cstheme="majorHAnsi"/>
          <w:color w:val="auto"/>
          <w:sz w:val="22"/>
          <w:szCs w:val="22"/>
          <w:lang w:eastAsia="zh-CN"/>
        </w:rPr>
        <w:t>three-month period ended 31 March 2025.</w:t>
      </w:r>
    </w:p>
    <w:p w14:paraId="53BB2511" w14:textId="77777777" w:rsidR="008B0704" w:rsidRPr="008B0704" w:rsidRDefault="008B0704" w:rsidP="008B0704">
      <w:pPr>
        <w:spacing w:line="240" w:lineRule="auto"/>
        <w:ind w:left="450"/>
        <w:jc w:val="thaiDistribute"/>
        <w:rPr>
          <w:rFonts w:asciiTheme="majorHAnsi" w:eastAsia="Cordia New" w:hAnsiTheme="majorHAnsi"/>
          <w:color w:val="auto"/>
          <w:sz w:val="22"/>
          <w:szCs w:val="28"/>
          <w:lang w:eastAsia="zh-CN" w:bidi="th-TH"/>
        </w:rPr>
      </w:pPr>
    </w:p>
    <w:p w14:paraId="06C80EDA" w14:textId="3D210EE8" w:rsidR="0091301E" w:rsidRPr="00E91296" w:rsidRDefault="0091301E" w:rsidP="00E91296">
      <w:pPr>
        <w:numPr>
          <w:ilvl w:val="0"/>
          <w:numId w:val="2"/>
        </w:numPr>
        <w:spacing w:line="240" w:lineRule="auto"/>
        <w:ind w:left="450"/>
        <w:jc w:val="thaiDistribute"/>
        <w:rPr>
          <w:rFonts w:asciiTheme="majorHAnsi" w:eastAsia="Cordia New" w:hAnsiTheme="majorHAnsi" w:cstheme="majorHAnsi"/>
          <w:color w:val="auto"/>
          <w:sz w:val="22"/>
          <w:szCs w:val="22"/>
          <w:lang w:eastAsia="zh-CN"/>
        </w:rPr>
      </w:pPr>
      <w:r w:rsidRPr="0091301E">
        <w:rPr>
          <w:rFonts w:asciiTheme="majorHAnsi" w:eastAsia="Cordia New" w:hAnsiTheme="majorHAnsi" w:cstheme="majorHAnsi"/>
          <w:color w:val="auto"/>
          <w:sz w:val="22"/>
          <w:szCs w:val="22"/>
          <w:lang w:eastAsia="zh-CN"/>
        </w:rPr>
        <w:t xml:space="preserve">As described in Note </w:t>
      </w:r>
      <w:r w:rsidR="00D93809">
        <w:rPr>
          <w:rFonts w:asciiTheme="majorHAnsi" w:eastAsia="Cordia New" w:hAnsiTheme="majorHAnsi" w:cstheme="majorHAnsi"/>
          <w:color w:val="auto"/>
          <w:sz w:val="22"/>
          <w:szCs w:val="22"/>
          <w:lang w:eastAsia="zh-CN"/>
        </w:rPr>
        <w:t>8</w:t>
      </w:r>
      <w:r w:rsidRPr="004B1F9C">
        <w:rPr>
          <w:rFonts w:asciiTheme="majorHAnsi" w:eastAsia="Cordia New" w:hAnsiTheme="majorHAnsi" w:cstheme="majorHAnsi"/>
          <w:color w:val="auto"/>
          <w:sz w:val="22"/>
          <w:szCs w:val="22"/>
          <w:lang w:eastAsia="zh-CN"/>
        </w:rPr>
        <w:t xml:space="preserve"> to</w:t>
      </w:r>
      <w:r w:rsidRPr="0091301E">
        <w:rPr>
          <w:rFonts w:asciiTheme="majorHAnsi" w:eastAsia="Cordia New" w:hAnsiTheme="majorHAnsi" w:cstheme="majorHAnsi"/>
          <w:color w:val="auto"/>
          <w:sz w:val="22"/>
          <w:szCs w:val="22"/>
          <w:lang w:eastAsia="zh-CN"/>
        </w:rPr>
        <w:t xml:space="preserve"> the </w:t>
      </w:r>
      <w:r w:rsidR="00775497">
        <w:rPr>
          <w:rFonts w:asciiTheme="majorHAnsi" w:eastAsia="Cordia New" w:hAnsiTheme="majorHAnsi" w:cstheme="majorHAnsi"/>
          <w:color w:val="auto"/>
          <w:sz w:val="22"/>
          <w:szCs w:val="22"/>
          <w:lang w:eastAsia="zh-CN"/>
        </w:rPr>
        <w:t xml:space="preserve">interim </w:t>
      </w:r>
      <w:r w:rsidRPr="0091301E">
        <w:rPr>
          <w:rFonts w:asciiTheme="majorHAnsi" w:eastAsia="Cordia New" w:hAnsiTheme="majorHAnsi" w:cstheme="majorHAnsi"/>
          <w:color w:val="auto"/>
          <w:sz w:val="22"/>
          <w:szCs w:val="22"/>
          <w:lang w:eastAsia="zh-CN"/>
        </w:rPr>
        <w:t xml:space="preserve">financial </w:t>
      </w:r>
      <w:r w:rsidR="00865262" w:rsidRPr="00865262">
        <w:rPr>
          <w:rFonts w:asciiTheme="majorHAnsi" w:eastAsia="Cordia New" w:hAnsiTheme="majorHAnsi" w:cstheme="majorHAnsi"/>
          <w:color w:val="auto"/>
          <w:sz w:val="22"/>
          <w:szCs w:val="22"/>
          <w:lang w:eastAsia="zh-CN"/>
        </w:rPr>
        <w:t>information</w:t>
      </w:r>
      <w:r w:rsidRPr="0091301E">
        <w:rPr>
          <w:rFonts w:asciiTheme="majorHAnsi" w:eastAsia="Cordia New" w:hAnsiTheme="majorHAnsi" w:cstheme="majorHAnsi"/>
          <w:color w:val="auto"/>
          <w:sz w:val="22"/>
          <w:szCs w:val="22"/>
          <w:lang w:eastAsia="zh-CN"/>
        </w:rPr>
        <w:t xml:space="preserve">, as at 31 </w:t>
      </w:r>
      <w:r w:rsidR="00775497">
        <w:rPr>
          <w:rFonts w:asciiTheme="majorHAnsi" w:eastAsia="Cordia New" w:hAnsiTheme="majorHAnsi" w:cstheme="majorHAnsi"/>
          <w:color w:val="auto"/>
          <w:sz w:val="22"/>
          <w:szCs w:val="22"/>
          <w:lang w:eastAsia="zh-CN"/>
        </w:rPr>
        <w:t xml:space="preserve">March </w:t>
      </w:r>
      <w:r w:rsidRPr="0091301E">
        <w:rPr>
          <w:rFonts w:asciiTheme="majorHAnsi" w:eastAsia="Cordia New" w:hAnsiTheme="majorHAnsi" w:cstheme="majorHAnsi"/>
          <w:color w:val="auto"/>
          <w:sz w:val="22"/>
          <w:szCs w:val="22"/>
          <w:lang w:eastAsia="zh-CN"/>
        </w:rPr>
        <w:t>202</w:t>
      </w:r>
      <w:r w:rsidR="00775497">
        <w:rPr>
          <w:rFonts w:asciiTheme="majorHAnsi" w:eastAsia="Cordia New" w:hAnsiTheme="majorHAnsi" w:cstheme="majorHAnsi"/>
          <w:color w:val="auto"/>
          <w:sz w:val="22"/>
          <w:szCs w:val="22"/>
          <w:lang w:eastAsia="zh-CN"/>
        </w:rPr>
        <w:t>5</w:t>
      </w:r>
      <w:r w:rsidRPr="0091301E">
        <w:rPr>
          <w:rFonts w:asciiTheme="majorHAnsi" w:eastAsia="Cordia New" w:hAnsiTheme="majorHAnsi" w:cstheme="majorHAnsi"/>
          <w:color w:val="auto"/>
          <w:sz w:val="22"/>
          <w:szCs w:val="22"/>
          <w:lang w:eastAsia="zh-CN"/>
        </w:rPr>
        <w:t xml:space="preserve">, the Group measures the fair value of other non-current financial assets - investments in equity instruments of non-listed companies, which include investments in Koncious Foods., Inc., New Protein Fund I LP, Big Idea Ventures GP I LLC, Frontline Bioenergy LLC, and Nove Eats Limited using the most recent information available to the Group, which is not the latest </w:t>
      </w:r>
      <w:r w:rsidR="00F955DE" w:rsidRPr="0091301E">
        <w:rPr>
          <w:rFonts w:asciiTheme="majorHAnsi" w:eastAsia="Cordia New" w:hAnsiTheme="majorHAnsi" w:cstheme="majorHAnsi"/>
          <w:color w:val="auto"/>
          <w:sz w:val="22"/>
          <w:szCs w:val="22"/>
          <w:lang w:eastAsia="zh-CN"/>
        </w:rPr>
        <w:t xml:space="preserve">audited </w:t>
      </w:r>
      <w:r w:rsidRPr="0091301E">
        <w:rPr>
          <w:rFonts w:asciiTheme="majorHAnsi" w:eastAsia="Cordia New" w:hAnsiTheme="majorHAnsi" w:cstheme="majorHAnsi"/>
          <w:color w:val="auto"/>
          <w:sz w:val="22"/>
          <w:szCs w:val="22"/>
          <w:lang w:eastAsia="zh-CN"/>
        </w:rPr>
        <w:t xml:space="preserve">financial statements. This is because most of these investments are in foreign countries, and the Group holds a very small voting interest in them, to the extent that it does not have the power to control or command any actions to obtain the latest audited financial statements and other necessary information to adequately assess fair value. Therefore, the Group considers using information from undisclosed sources and not the latest audited financial statements. </w:t>
      </w:r>
      <w:r w:rsidR="00F663FD" w:rsidRPr="00315AB9">
        <w:rPr>
          <w:rFonts w:asciiTheme="majorHAnsi" w:eastAsia="Cordia New" w:hAnsiTheme="majorHAnsi" w:cstheme="majorHAnsi"/>
          <w:color w:val="auto"/>
          <w:sz w:val="22"/>
          <w:szCs w:val="22"/>
          <w:lang w:eastAsia="zh-CN"/>
        </w:rPr>
        <w:t xml:space="preserve">During the </w:t>
      </w:r>
      <w:r w:rsidR="00F663FD">
        <w:rPr>
          <w:rFonts w:asciiTheme="majorHAnsi" w:eastAsia="Cordia New" w:hAnsiTheme="majorHAnsi" w:cstheme="majorHAnsi"/>
          <w:color w:val="auto"/>
          <w:sz w:val="22"/>
          <w:szCs w:val="22"/>
          <w:lang w:eastAsia="zh-CN"/>
        </w:rPr>
        <w:t xml:space="preserve">three-month </w:t>
      </w:r>
      <w:r w:rsidR="00F663FD" w:rsidRPr="00315AB9">
        <w:rPr>
          <w:rFonts w:asciiTheme="majorHAnsi" w:eastAsia="Cordia New" w:hAnsiTheme="majorHAnsi" w:cstheme="majorHAnsi"/>
          <w:color w:val="auto"/>
          <w:sz w:val="22"/>
          <w:szCs w:val="22"/>
          <w:lang w:eastAsia="zh-CN"/>
        </w:rPr>
        <w:t>period ended 31 March 2025,</w:t>
      </w:r>
      <w:r w:rsidR="00F663FD" w:rsidRPr="00817028">
        <w:t xml:space="preserve"> </w:t>
      </w:r>
      <w:r w:rsidR="00F663FD" w:rsidRPr="00817028">
        <w:rPr>
          <w:rFonts w:asciiTheme="majorHAnsi" w:eastAsia="Cordia New" w:hAnsiTheme="majorHAnsi" w:cstheme="majorHAnsi"/>
          <w:color w:val="auto"/>
          <w:sz w:val="22"/>
          <w:szCs w:val="22"/>
          <w:lang w:eastAsia="zh-CN"/>
        </w:rPr>
        <w:t>the account balance for the</w:t>
      </w:r>
      <w:r w:rsidR="00F663FD">
        <w:rPr>
          <w:rFonts w:asciiTheme="majorHAnsi" w:eastAsia="Cordia New" w:hAnsiTheme="majorHAnsi" w:cstheme="majorHAnsi"/>
          <w:color w:val="auto"/>
          <w:sz w:val="22"/>
          <w:szCs w:val="22"/>
          <w:lang w:eastAsia="zh-CN"/>
        </w:rPr>
        <w:t>se</w:t>
      </w:r>
      <w:r w:rsidR="00F663FD" w:rsidRPr="00817028">
        <w:rPr>
          <w:rFonts w:asciiTheme="majorHAnsi" w:eastAsia="Cordia New" w:hAnsiTheme="majorHAnsi" w:cstheme="majorHAnsi"/>
          <w:color w:val="auto"/>
          <w:sz w:val="22"/>
          <w:szCs w:val="22"/>
          <w:lang w:eastAsia="zh-CN"/>
        </w:rPr>
        <w:t xml:space="preserve"> investment</w:t>
      </w:r>
      <w:r w:rsidR="00F663FD">
        <w:rPr>
          <w:rFonts w:asciiTheme="majorHAnsi" w:eastAsia="Cordia New" w:hAnsiTheme="majorHAnsi" w:cstheme="majorHAnsi"/>
          <w:color w:val="auto"/>
          <w:sz w:val="22"/>
          <w:szCs w:val="22"/>
          <w:lang w:eastAsia="zh-CN"/>
        </w:rPr>
        <w:t>s</w:t>
      </w:r>
      <w:r w:rsidR="00F663FD" w:rsidRPr="00817028">
        <w:rPr>
          <w:rFonts w:asciiTheme="majorHAnsi" w:eastAsia="Cordia New" w:hAnsiTheme="majorHAnsi" w:cstheme="majorHAnsi"/>
          <w:color w:val="auto"/>
          <w:sz w:val="22"/>
          <w:szCs w:val="22"/>
          <w:lang w:eastAsia="zh-CN"/>
        </w:rPr>
        <w:t xml:space="preserve"> did not change.</w:t>
      </w:r>
      <w:r w:rsidR="00F663FD" w:rsidRPr="00E91296">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Given the limitations of </w:t>
      </w:r>
      <w:r w:rsidRPr="0091301E">
        <w:rPr>
          <w:rFonts w:asciiTheme="majorHAnsi" w:eastAsia="Cordia New" w:hAnsiTheme="majorHAnsi" w:cstheme="majorHAnsi"/>
          <w:color w:val="auto"/>
          <w:sz w:val="22"/>
          <w:szCs w:val="22"/>
          <w:lang w:eastAsia="zh-CN"/>
        </w:rPr>
        <w:lastRenderedPageBreak/>
        <w:t xml:space="preserve">the information used to measure fair value, I do not have sufficient information to </w:t>
      </w:r>
      <w:r w:rsidR="00186433">
        <w:rPr>
          <w:rFonts w:asciiTheme="majorHAnsi" w:eastAsia="Cordia New" w:hAnsiTheme="majorHAnsi" w:cstheme="majorHAnsi"/>
          <w:color w:val="auto"/>
          <w:sz w:val="22"/>
          <w:szCs w:val="22"/>
          <w:lang w:eastAsia="zh-CN"/>
        </w:rPr>
        <w:t>assess</w:t>
      </w:r>
      <w:r w:rsidR="00186433" w:rsidRPr="0091301E">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the fair value or to apply other </w:t>
      </w:r>
      <w:r w:rsidRPr="0091301E">
        <w:rPr>
          <w:rFonts w:asciiTheme="majorHAnsi" w:eastAsia="Cordia New" w:hAnsiTheme="majorHAnsi" w:cstheme="majorHAnsi"/>
          <w:color w:val="auto"/>
          <w:sz w:val="22"/>
          <w:szCs w:val="22"/>
          <w:lang w:val="en-GB" w:eastAsia="zh-CN"/>
        </w:rPr>
        <w:t xml:space="preserve">procedures to satisfy myself as to </w:t>
      </w:r>
      <w:r w:rsidRPr="0091301E">
        <w:rPr>
          <w:rFonts w:asciiTheme="majorHAnsi" w:eastAsia="Cordia New" w:hAnsiTheme="majorHAnsi" w:cstheme="majorHAnsi"/>
          <w:color w:val="auto"/>
          <w:sz w:val="22"/>
          <w:szCs w:val="22"/>
          <w:lang w:eastAsia="zh-CN"/>
        </w:rPr>
        <w:t>the fair value of the investment in equity instruments of non-listed companies</w:t>
      </w:r>
      <w:r w:rsidR="00315AB9">
        <w:rPr>
          <w:rFonts w:asciiTheme="majorHAnsi" w:eastAsia="Cordia New" w:hAnsiTheme="majorHAnsi" w:cstheme="majorHAnsi"/>
          <w:color w:val="auto"/>
          <w:sz w:val="22"/>
          <w:szCs w:val="22"/>
          <w:lang w:eastAsia="zh-CN"/>
        </w:rPr>
        <w:t>.</w:t>
      </w:r>
      <w:r w:rsidRPr="0091301E">
        <w:rPr>
          <w:rFonts w:asciiTheme="majorHAnsi" w:eastAsia="Cordia New" w:hAnsiTheme="majorHAnsi" w:cstheme="majorHAnsi"/>
          <w:color w:val="auto"/>
          <w:sz w:val="22"/>
          <w:szCs w:val="22"/>
          <w:lang w:eastAsia="zh-CN"/>
        </w:rPr>
        <w:t xml:space="preserve"> </w:t>
      </w:r>
      <w:r w:rsidR="00817028">
        <w:rPr>
          <w:rFonts w:asciiTheme="majorHAnsi" w:eastAsia="Cordia New" w:hAnsiTheme="majorHAnsi" w:cstheme="majorHAnsi"/>
          <w:color w:val="auto"/>
          <w:sz w:val="22"/>
          <w:szCs w:val="22"/>
          <w:lang w:eastAsia="zh-CN"/>
        </w:rPr>
        <w:t xml:space="preserve"> </w:t>
      </w:r>
    </w:p>
    <w:p w14:paraId="1793FC6C" w14:textId="77777777" w:rsidR="00DC3A9E" w:rsidRDefault="00DC3A9E" w:rsidP="00DC3A9E">
      <w:pPr>
        <w:spacing w:line="240" w:lineRule="auto"/>
        <w:ind w:left="450"/>
        <w:rPr>
          <w:rFonts w:asciiTheme="majorHAnsi" w:eastAsia="Cordia New" w:hAnsiTheme="majorHAnsi" w:cstheme="majorHAnsi"/>
          <w:color w:val="auto"/>
          <w:sz w:val="22"/>
          <w:szCs w:val="22"/>
          <w:lang w:eastAsia="zh-CN"/>
        </w:rPr>
      </w:pPr>
    </w:p>
    <w:p w14:paraId="5651F191" w14:textId="393EB0E8" w:rsidR="00777F4B" w:rsidRDefault="00DC3A9E" w:rsidP="00DC3A9E">
      <w:pPr>
        <w:spacing w:line="240" w:lineRule="auto"/>
        <w:ind w:left="450"/>
        <w:rPr>
          <w:rFonts w:asciiTheme="majorHAnsi" w:eastAsia="Cordia New" w:hAnsiTheme="majorHAnsi" w:cstheme="majorHAnsi"/>
          <w:color w:val="auto"/>
          <w:sz w:val="22"/>
          <w:szCs w:val="22"/>
          <w:lang w:eastAsia="zh-CN"/>
        </w:rPr>
      </w:pPr>
      <w:r w:rsidRPr="00DC3A9E">
        <w:rPr>
          <w:rFonts w:asciiTheme="majorHAnsi" w:eastAsia="Cordia New" w:hAnsiTheme="majorHAnsi" w:cstheme="majorHAnsi"/>
          <w:color w:val="auto"/>
          <w:sz w:val="22"/>
          <w:szCs w:val="22"/>
          <w:lang w:eastAsia="zh-CN"/>
        </w:rPr>
        <w:t xml:space="preserve">Therefore, I am unable to determine whether it is necessary to adjust the carrying amounts of the investments in equity instruments of non-listed companies as at </w:t>
      </w:r>
      <w:r w:rsidR="006F66E0">
        <w:rPr>
          <w:rFonts w:asciiTheme="majorHAnsi" w:eastAsia="Cordia New" w:hAnsiTheme="majorHAnsi" w:cstheme="majorHAnsi"/>
          <w:color w:val="auto"/>
          <w:sz w:val="22"/>
          <w:szCs w:val="22"/>
          <w:lang w:eastAsia="zh-CN"/>
        </w:rPr>
        <w:t xml:space="preserve">31 </w:t>
      </w:r>
      <w:r w:rsidRPr="00DC3A9E">
        <w:rPr>
          <w:rFonts w:asciiTheme="majorHAnsi" w:eastAsia="Cordia New" w:hAnsiTheme="majorHAnsi" w:cstheme="majorHAnsi"/>
          <w:color w:val="auto"/>
          <w:sz w:val="22"/>
          <w:szCs w:val="22"/>
          <w:lang w:eastAsia="zh-CN"/>
        </w:rPr>
        <w:t xml:space="preserve">March 2025, which are recorded under other non-current financial assets in the statements of financial position as at </w:t>
      </w:r>
      <w:r w:rsidR="006F66E0">
        <w:rPr>
          <w:rFonts w:asciiTheme="majorHAnsi" w:eastAsia="Cordia New" w:hAnsiTheme="majorHAnsi" w:cstheme="majorHAnsi"/>
          <w:color w:val="auto"/>
          <w:sz w:val="22"/>
          <w:szCs w:val="22"/>
          <w:lang w:eastAsia="zh-CN"/>
        </w:rPr>
        <w:t xml:space="preserve">31 </w:t>
      </w:r>
      <w:r w:rsidRPr="00DC3A9E">
        <w:rPr>
          <w:rFonts w:asciiTheme="majorHAnsi" w:eastAsia="Cordia New" w:hAnsiTheme="majorHAnsi" w:cstheme="majorHAnsi"/>
          <w:color w:val="auto"/>
          <w:sz w:val="22"/>
          <w:szCs w:val="22"/>
          <w:lang w:eastAsia="zh-CN"/>
        </w:rPr>
        <w:t>March 2025, amounting to Baht 204.4 million and Baht 19.3 million in the consolidated and separate financial statements, respectively.</w:t>
      </w:r>
    </w:p>
    <w:p w14:paraId="0A6CFC0A" w14:textId="77777777" w:rsidR="00DC3A9E" w:rsidRDefault="00DC3A9E" w:rsidP="00777F4B">
      <w:pPr>
        <w:spacing w:line="240" w:lineRule="auto"/>
        <w:ind w:left="720"/>
        <w:rPr>
          <w:rFonts w:asciiTheme="majorHAnsi" w:eastAsia="Cordia New" w:hAnsiTheme="majorHAnsi" w:cstheme="majorHAnsi"/>
          <w:color w:val="auto"/>
          <w:sz w:val="22"/>
          <w:szCs w:val="22"/>
          <w:lang w:eastAsia="zh-CN"/>
        </w:rPr>
      </w:pPr>
    </w:p>
    <w:p w14:paraId="40AAF73C" w14:textId="031A7378" w:rsidR="008C35FB" w:rsidRPr="000E4B3F" w:rsidRDefault="0091301E" w:rsidP="000E4B3F">
      <w:pPr>
        <w:numPr>
          <w:ilvl w:val="0"/>
          <w:numId w:val="2"/>
        </w:numPr>
        <w:spacing w:line="240" w:lineRule="auto"/>
        <w:ind w:left="450"/>
        <w:jc w:val="thaiDistribute"/>
        <w:rPr>
          <w:rFonts w:asciiTheme="majorHAnsi" w:eastAsia="Cordia New" w:hAnsiTheme="majorHAnsi" w:cstheme="majorHAnsi"/>
          <w:color w:val="auto"/>
          <w:sz w:val="22"/>
          <w:szCs w:val="22"/>
          <w:lang w:eastAsia="zh-CN"/>
        </w:rPr>
      </w:pPr>
      <w:r w:rsidRPr="0091301E">
        <w:rPr>
          <w:rFonts w:asciiTheme="majorHAnsi" w:eastAsia="Cordia New" w:hAnsiTheme="majorHAnsi" w:cstheme="majorHAnsi"/>
          <w:color w:val="auto"/>
          <w:sz w:val="22"/>
          <w:szCs w:val="22"/>
          <w:lang w:eastAsia="zh-CN"/>
        </w:rPr>
        <w:t xml:space="preserve">As described in the Note </w:t>
      </w:r>
      <w:r w:rsidR="004B1F9C" w:rsidRPr="00A301B5">
        <w:rPr>
          <w:rFonts w:asciiTheme="majorHAnsi" w:eastAsia="Cordia New" w:hAnsiTheme="majorHAnsi" w:cstheme="majorHAnsi"/>
          <w:color w:val="auto"/>
          <w:sz w:val="22"/>
          <w:szCs w:val="22"/>
          <w:lang w:eastAsia="zh-CN"/>
        </w:rPr>
        <w:t>9.2</w:t>
      </w:r>
      <w:r w:rsidRPr="0091301E">
        <w:rPr>
          <w:rFonts w:asciiTheme="majorHAnsi" w:eastAsia="Cordia New" w:hAnsiTheme="majorHAnsi" w:cstheme="majorHAnsi"/>
          <w:color w:val="auto"/>
          <w:sz w:val="22"/>
          <w:szCs w:val="22"/>
          <w:lang w:eastAsia="zh-CN"/>
        </w:rPr>
        <w:t xml:space="preserve"> to </w:t>
      </w:r>
      <w:r w:rsidR="00777F4B">
        <w:rPr>
          <w:rFonts w:asciiTheme="majorHAnsi" w:eastAsia="Cordia New" w:hAnsiTheme="majorHAnsi" w:cstheme="majorHAnsi"/>
          <w:color w:val="auto"/>
          <w:sz w:val="22"/>
          <w:szCs w:val="22"/>
          <w:lang w:eastAsia="zh-CN"/>
        </w:rPr>
        <w:t xml:space="preserve">the interim </w:t>
      </w:r>
      <w:r w:rsidRPr="0091301E">
        <w:rPr>
          <w:rFonts w:asciiTheme="majorHAnsi" w:eastAsia="Cordia New" w:hAnsiTheme="majorHAnsi" w:cstheme="majorHAnsi"/>
          <w:color w:val="auto"/>
          <w:sz w:val="22"/>
          <w:szCs w:val="22"/>
          <w:lang w:eastAsia="zh-CN"/>
        </w:rPr>
        <w:t xml:space="preserve">financial </w:t>
      </w:r>
      <w:r w:rsidR="00865262" w:rsidRPr="00865262">
        <w:rPr>
          <w:rFonts w:asciiTheme="majorHAnsi" w:eastAsia="Cordia New" w:hAnsiTheme="majorHAnsi" w:cstheme="majorHAnsi"/>
          <w:color w:val="auto"/>
          <w:sz w:val="22"/>
          <w:szCs w:val="22"/>
          <w:lang w:eastAsia="zh-CN"/>
        </w:rPr>
        <w:t>information</w:t>
      </w:r>
      <w:r w:rsidRPr="0091301E">
        <w:rPr>
          <w:rFonts w:asciiTheme="majorHAnsi" w:eastAsia="Cordia New" w:hAnsiTheme="majorHAnsi" w:cstheme="majorHAnsi"/>
          <w:color w:val="auto"/>
          <w:sz w:val="22"/>
          <w:szCs w:val="22"/>
          <w:lang w:eastAsia="zh-CN"/>
        </w:rPr>
        <w:t xml:space="preserve">, on 1 November 2024, Regeneration Capital (Cayman) Limited (RCL-CM) received the repayment of loan and accrued interest from Kairous Ventures Limited (KVL) amounting </w:t>
      </w:r>
      <w:r w:rsidR="00953697">
        <w:rPr>
          <w:rFonts w:asciiTheme="majorHAnsi" w:eastAsia="Cordia New" w:hAnsiTheme="majorHAnsi" w:cstheme="majorHAnsi"/>
          <w:color w:val="auto"/>
          <w:sz w:val="22"/>
          <w:szCs w:val="22"/>
          <w:lang w:eastAsia="zh-CN"/>
        </w:rPr>
        <w:t>t</w:t>
      </w:r>
      <w:r w:rsidRPr="0091301E">
        <w:rPr>
          <w:rFonts w:asciiTheme="majorHAnsi" w:eastAsia="Cordia New" w:hAnsiTheme="majorHAnsi" w:cstheme="majorHAnsi"/>
          <w:color w:val="auto"/>
          <w:sz w:val="22"/>
          <w:szCs w:val="22"/>
          <w:lang w:eastAsia="zh-CN"/>
        </w:rPr>
        <w:t xml:space="preserve">o USD 1.4 million or Baht 44.7 million by Kairous Asia Limited (KAL)’s ordinary shares of 1,176,643 shares at par value of USD 0.000043. As a result, the Group’s shareholding in KAL increased from 49% to 100%. </w:t>
      </w:r>
      <w:r w:rsidRPr="000E4B3F">
        <w:rPr>
          <w:rFonts w:asciiTheme="majorHAnsi" w:eastAsia="Cordia New" w:hAnsiTheme="majorHAnsi" w:cstheme="majorHAnsi"/>
          <w:color w:val="auto"/>
          <w:sz w:val="22"/>
          <w:szCs w:val="22"/>
          <w:lang w:eastAsia="zh-CN"/>
        </w:rPr>
        <w:t xml:space="preserve">This investment </w:t>
      </w:r>
      <w:r w:rsidR="00371781" w:rsidRPr="000E4B3F">
        <w:rPr>
          <w:rFonts w:asciiTheme="majorHAnsi" w:eastAsia="Cordia New" w:hAnsiTheme="majorHAnsi" w:cstheme="majorHAnsi"/>
          <w:color w:val="auto"/>
          <w:sz w:val="22"/>
          <w:szCs w:val="22"/>
          <w:lang w:eastAsia="zh-CN"/>
        </w:rPr>
        <w:t xml:space="preserve">made </w:t>
      </w:r>
      <w:r w:rsidRPr="000E4B3F">
        <w:rPr>
          <w:rFonts w:asciiTheme="majorHAnsi" w:eastAsia="Cordia New" w:hAnsiTheme="majorHAnsi" w:cstheme="majorHAnsi"/>
          <w:color w:val="auto"/>
          <w:sz w:val="22"/>
          <w:szCs w:val="22"/>
          <w:lang w:eastAsia="zh-CN"/>
        </w:rPr>
        <w:t xml:space="preserve">in KAL </w:t>
      </w:r>
      <w:r w:rsidR="000208D7" w:rsidRPr="000E4B3F">
        <w:rPr>
          <w:rFonts w:asciiTheme="majorHAnsi" w:eastAsia="Cordia New" w:hAnsiTheme="majorHAnsi" w:cstheme="majorHAnsi"/>
          <w:color w:val="auto"/>
          <w:sz w:val="22"/>
          <w:szCs w:val="22"/>
          <w:lang w:eastAsia="zh-CN"/>
        </w:rPr>
        <w:t xml:space="preserve">resulted in a </w:t>
      </w:r>
      <w:r w:rsidRPr="000E4B3F">
        <w:rPr>
          <w:rFonts w:asciiTheme="majorHAnsi" w:eastAsia="Cordia New" w:hAnsiTheme="majorHAnsi" w:cstheme="majorHAnsi"/>
          <w:color w:val="auto"/>
          <w:sz w:val="22"/>
          <w:szCs w:val="22"/>
          <w:lang w:eastAsia="zh-CN"/>
        </w:rPr>
        <w:t>chang</w:t>
      </w:r>
      <w:r w:rsidR="000208D7" w:rsidRPr="000E4B3F">
        <w:rPr>
          <w:rFonts w:asciiTheme="majorHAnsi" w:eastAsia="Cordia New" w:hAnsiTheme="majorHAnsi" w:cstheme="majorHAnsi"/>
          <w:color w:val="auto"/>
          <w:sz w:val="22"/>
          <w:szCs w:val="22"/>
          <w:lang w:eastAsia="zh-CN"/>
        </w:rPr>
        <w:t>e in classification</w:t>
      </w:r>
      <w:r w:rsidRPr="000E4B3F">
        <w:rPr>
          <w:rFonts w:asciiTheme="majorHAnsi" w:eastAsia="Cordia New" w:hAnsiTheme="majorHAnsi" w:cstheme="majorHAnsi"/>
          <w:color w:val="auto"/>
          <w:sz w:val="22"/>
          <w:szCs w:val="22"/>
          <w:lang w:eastAsia="zh-CN"/>
        </w:rPr>
        <w:t xml:space="preserve"> from financial assets at </w:t>
      </w:r>
      <w:r w:rsidR="00930CCA">
        <w:rPr>
          <w:rFonts w:asciiTheme="majorHAnsi" w:eastAsia="Cordia New" w:hAnsiTheme="majorHAnsi" w:cstheme="majorHAnsi"/>
          <w:color w:val="auto"/>
          <w:sz w:val="22"/>
          <w:szCs w:val="22"/>
          <w:lang w:eastAsia="zh-CN"/>
        </w:rPr>
        <w:t xml:space="preserve">fair </w:t>
      </w:r>
      <w:r w:rsidR="005766AC">
        <w:rPr>
          <w:rFonts w:asciiTheme="majorHAnsi" w:eastAsia="Cordia New" w:hAnsiTheme="majorHAnsi" w:cstheme="majorHAnsi"/>
          <w:color w:val="auto"/>
          <w:sz w:val="22"/>
          <w:szCs w:val="22"/>
          <w:lang w:eastAsia="zh-CN"/>
        </w:rPr>
        <w:t>value through profit or loss (</w:t>
      </w:r>
      <w:r w:rsidR="00EB08C6">
        <w:rPr>
          <w:rFonts w:asciiTheme="majorHAnsi" w:eastAsia="Cordia New" w:hAnsiTheme="majorHAnsi" w:cstheme="majorHAnsi"/>
          <w:color w:val="auto"/>
          <w:sz w:val="22"/>
          <w:szCs w:val="22"/>
          <w:lang w:eastAsia="zh-CN"/>
        </w:rPr>
        <w:t>“</w:t>
      </w:r>
      <w:r w:rsidRPr="000E4B3F">
        <w:rPr>
          <w:rFonts w:asciiTheme="majorHAnsi" w:eastAsia="Cordia New" w:hAnsiTheme="majorHAnsi" w:cstheme="majorHAnsi"/>
          <w:color w:val="auto"/>
          <w:sz w:val="22"/>
          <w:szCs w:val="22"/>
          <w:lang w:eastAsia="zh-CN"/>
        </w:rPr>
        <w:t>FVTPL</w:t>
      </w:r>
      <w:r w:rsidR="00EB08C6">
        <w:rPr>
          <w:rFonts w:asciiTheme="majorHAnsi" w:eastAsia="Cordia New" w:hAnsiTheme="majorHAnsi" w:cstheme="majorHAnsi"/>
          <w:color w:val="auto"/>
          <w:sz w:val="22"/>
          <w:szCs w:val="22"/>
          <w:lang w:eastAsia="zh-CN"/>
        </w:rPr>
        <w:t>”</w:t>
      </w:r>
      <w:r w:rsidR="005766AC">
        <w:rPr>
          <w:rFonts w:asciiTheme="majorHAnsi" w:eastAsia="Cordia New" w:hAnsiTheme="majorHAnsi" w:cstheme="majorHAnsi"/>
          <w:color w:val="auto"/>
          <w:sz w:val="22"/>
          <w:szCs w:val="22"/>
          <w:lang w:eastAsia="zh-CN"/>
        </w:rPr>
        <w:t>)</w:t>
      </w:r>
      <w:r w:rsidRPr="000E4B3F">
        <w:rPr>
          <w:rFonts w:asciiTheme="majorHAnsi" w:eastAsia="Cordia New" w:hAnsiTheme="majorHAnsi" w:cstheme="majorHAnsi"/>
          <w:color w:val="auto"/>
          <w:sz w:val="22"/>
          <w:szCs w:val="22"/>
          <w:lang w:eastAsia="zh-CN"/>
        </w:rPr>
        <w:t xml:space="preserve"> to investment in subsidiary with a total value of Baht 97 million. In addition, KAL has </w:t>
      </w:r>
      <w:r w:rsidR="000208D7" w:rsidRPr="000E4B3F">
        <w:rPr>
          <w:rFonts w:asciiTheme="majorHAnsi" w:eastAsia="Cordia New" w:hAnsiTheme="majorHAnsi" w:cstheme="majorHAnsi"/>
          <w:color w:val="auto"/>
          <w:sz w:val="22"/>
          <w:szCs w:val="22"/>
          <w:lang w:eastAsia="zh-CN"/>
        </w:rPr>
        <w:t xml:space="preserve">an </w:t>
      </w:r>
      <w:r w:rsidRPr="000E4B3F">
        <w:rPr>
          <w:rFonts w:asciiTheme="majorHAnsi" w:eastAsia="Cordia New" w:hAnsiTheme="majorHAnsi" w:cstheme="majorHAnsi"/>
          <w:color w:val="auto"/>
          <w:sz w:val="22"/>
          <w:szCs w:val="22"/>
          <w:lang w:eastAsia="zh-CN"/>
        </w:rPr>
        <w:t>investment in subsidiary, Kairous Acquisition Corp. Limited (KACL), which was established to raise capital on the United States Stock Exchange (NASDAQ) with the objective of merging with another business</w:t>
      </w:r>
      <w:r w:rsidR="000208D7" w:rsidRPr="000E4B3F">
        <w:rPr>
          <w:rFonts w:asciiTheme="majorHAnsi" w:eastAsia="Cordia New" w:hAnsiTheme="majorHAnsi" w:cstheme="majorHAnsi"/>
          <w:color w:val="auto"/>
          <w:sz w:val="22"/>
          <w:szCs w:val="22"/>
          <w:lang w:eastAsia="zh-CN"/>
        </w:rPr>
        <w:t>, known as a</w:t>
      </w:r>
      <w:r w:rsidRPr="000E4B3F">
        <w:rPr>
          <w:rFonts w:asciiTheme="majorHAnsi" w:eastAsia="Cordia New" w:hAnsiTheme="majorHAnsi" w:cstheme="majorHAnsi"/>
          <w:color w:val="auto"/>
          <w:sz w:val="22"/>
          <w:szCs w:val="22"/>
          <w:lang w:eastAsia="zh-CN"/>
        </w:rPr>
        <w:t xml:space="preserve"> Special Purpose Acquisition Company (SPAC). Consequently, the Group has an indirect shareholding proportion in KACL of 91.35% as well. </w:t>
      </w:r>
    </w:p>
    <w:p w14:paraId="770E2EF6" w14:textId="77777777" w:rsidR="008C35FB" w:rsidRDefault="008C35FB" w:rsidP="00E45B6C">
      <w:pPr>
        <w:spacing w:line="240" w:lineRule="auto"/>
        <w:ind w:left="450"/>
        <w:jc w:val="thaiDistribute"/>
        <w:rPr>
          <w:rFonts w:asciiTheme="majorHAnsi" w:eastAsia="Cordia New" w:hAnsiTheme="majorHAnsi" w:cstheme="majorHAnsi"/>
          <w:color w:val="auto"/>
          <w:sz w:val="22"/>
          <w:szCs w:val="22"/>
          <w:lang w:eastAsia="zh-CN"/>
        </w:rPr>
      </w:pPr>
    </w:p>
    <w:p w14:paraId="41954413" w14:textId="52FFECC7" w:rsidR="00CB50C3" w:rsidRDefault="00004F8E" w:rsidP="00CB50C3">
      <w:pPr>
        <w:spacing w:line="240" w:lineRule="auto"/>
        <w:ind w:left="450"/>
        <w:jc w:val="thaiDistribute"/>
        <w:rPr>
          <w:rFonts w:asciiTheme="majorHAnsi" w:eastAsia="Cordia New" w:hAnsiTheme="majorHAnsi" w:cstheme="majorHAnsi"/>
          <w:color w:val="auto"/>
          <w:sz w:val="22"/>
          <w:szCs w:val="22"/>
          <w:lang w:eastAsia="zh-CN"/>
        </w:rPr>
      </w:pPr>
      <w:r w:rsidRPr="00004F8E">
        <w:rPr>
          <w:rFonts w:asciiTheme="majorHAnsi" w:eastAsia="Cordia New" w:hAnsiTheme="majorHAnsi" w:cstheme="majorHAnsi"/>
          <w:color w:val="auto"/>
          <w:sz w:val="22"/>
          <w:szCs w:val="22"/>
          <w:lang w:eastAsia="zh-CN"/>
        </w:rPr>
        <w:t>The Group considered that the acquisition of investments in the KAL Group constituted an asset acquisition (restated), as described in Notes 9.2 – Kairous Asia Limited and 22(a) to the interim financial information. Subsequently, the Group noted that KACL was delisted from the NASDAQ and commenced trading on the Over-the-Counter (OTC) market as it failed to meet the NASDAQ’s listing requirements. KACL also refunded the proceeds raised from investors to terminate the SPAC project and is now seeking new business opportunities.</w:t>
      </w:r>
      <w:r w:rsidR="008D2625" w:rsidRPr="008D2625">
        <w:t xml:space="preserve"> </w:t>
      </w:r>
      <w:r w:rsidR="008D2625" w:rsidRPr="008D2625">
        <w:rPr>
          <w:rFonts w:asciiTheme="majorHAnsi" w:eastAsia="Cordia New" w:hAnsiTheme="majorHAnsi" w:cstheme="majorHAnsi"/>
          <w:color w:val="auto"/>
          <w:sz w:val="22"/>
          <w:szCs w:val="22"/>
          <w:lang w:eastAsia="zh-CN"/>
        </w:rPr>
        <w:t>The termination of the SPAC project had a significant impact on the valuation of the assets and liabilities of KAL and KACL. Accordingly, the Group recognised a loss on the asset acquisition of Baht 421.1 million (restated), arising from total consideration paid for the investment of Baht 97 million to obtain the net liabilities of the KAL Group of Baht 324.1 million in the consolidated statement of comprehensive income for the year ended 31 December 2024.</w:t>
      </w:r>
    </w:p>
    <w:p w14:paraId="34BB3E86" w14:textId="77777777" w:rsidR="008D2625" w:rsidRPr="00803DAA" w:rsidRDefault="008D2625" w:rsidP="00CB50C3">
      <w:pPr>
        <w:spacing w:line="240" w:lineRule="auto"/>
        <w:ind w:left="450"/>
        <w:jc w:val="thaiDistribute"/>
        <w:rPr>
          <w:rFonts w:asciiTheme="majorHAnsi" w:eastAsia="Cordia New" w:hAnsiTheme="majorHAnsi" w:cstheme="majorHAnsi"/>
          <w:color w:val="auto"/>
          <w:sz w:val="22"/>
          <w:szCs w:val="22"/>
          <w:highlight w:val="yellow"/>
          <w:lang w:eastAsia="zh-CN"/>
        </w:rPr>
      </w:pPr>
    </w:p>
    <w:p w14:paraId="570BA129" w14:textId="7CE67A42" w:rsidR="00D30786" w:rsidRDefault="001649DF" w:rsidP="00022CC4">
      <w:pPr>
        <w:spacing w:line="240" w:lineRule="auto"/>
        <w:ind w:left="450"/>
        <w:jc w:val="thaiDistribute"/>
        <w:rPr>
          <w:rFonts w:asciiTheme="majorHAnsi" w:eastAsia="Cordia New" w:hAnsiTheme="majorHAnsi" w:cstheme="majorHAnsi"/>
          <w:color w:val="auto"/>
          <w:sz w:val="22"/>
          <w:szCs w:val="22"/>
          <w:lang w:eastAsia="zh-CN"/>
        </w:rPr>
      </w:pPr>
      <w:r w:rsidRPr="001649DF">
        <w:rPr>
          <w:rFonts w:asciiTheme="majorHAnsi" w:eastAsia="Cordia New" w:hAnsiTheme="majorHAnsi" w:cstheme="majorHAnsi"/>
          <w:color w:val="auto"/>
          <w:sz w:val="22"/>
          <w:szCs w:val="22"/>
          <w:lang w:eastAsia="zh-CN"/>
        </w:rPr>
        <w:t>In addition, as at 31 March 2025, the Company had loans to a subsidiary, Regeneration Capital Co., Ltd. (which holds shares in RCL-CM), amounting to Baht 312.8 million, and accrued interest receivable of Baht 18.15 million, which are presented as balances in the separate financial statements.</w:t>
      </w:r>
      <w:r w:rsidR="00D30786">
        <w:t xml:space="preserve"> </w:t>
      </w:r>
      <w:r w:rsidR="00022CC4" w:rsidRPr="00022CC4">
        <w:rPr>
          <w:rFonts w:asciiTheme="majorHAnsi" w:eastAsia="Cordia New" w:hAnsiTheme="majorHAnsi" w:cstheme="majorHAnsi"/>
          <w:color w:val="auto"/>
          <w:sz w:val="22"/>
          <w:szCs w:val="22"/>
          <w:lang w:eastAsia="zh-CN"/>
        </w:rPr>
        <w:t>The Company considers that the subsidiary’s ability to repay the loans and interest depends on future cash flows from the successful disposal of the investment in the aforementioned "Buyer" company and the future disposal of KACL shares in the OTC market due to the termination of the SPAC project as mentioned above. However, since the Company has not yet received supporting documents for the selling price, nor assurance that such the disposal will occur as planned, the Company, in accordance with the principle of accounting prudence, recorded an allowance for expected credit losses of Baht 292.9 million (restated). This allowance was calculated based on the net carrying amount (</w:t>
      </w:r>
      <w:r w:rsidR="00022CC4" w:rsidRPr="00BC215F">
        <w:rPr>
          <w:rFonts w:asciiTheme="majorHAnsi" w:eastAsia="Cordia New" w:hAnsiTheme="majorHAnsi" w:cstheme="majorHAnsi"/>
          <w:color w:val="auto"/>
          <w:sz w:val="22"/>
          <w:szCs w:val="22"/>
          <w:lang w:eastAsia="zh-CN"/>
        </w:rPr>
        <w:t xml:space="preserve">as stated in </w:t>
      </w:r>
      <w:r w:rsidR="00022CC4" w:rsidRPr="008B2003">
        <w:rPr>
          <w:rFonts w:asciiTheme="majorHAnsi" w:eastAsia="Cordia New" w:hAnsiTheme="majorHAnsi" w:cstheme="majorHAnsi"/>
          <w:color w:val="auto"/>
          <w:sz w:val="22"/>
          <w:szCs w:val="22"/>
          <w:lang w:eastAsia="zh-CN"/>
        </w:rPr>
        <w:t xml:space="preserve">Notes </w:t>
      </w:r>
      <w:r w:rsidR="00DF2252" w:rsidRPr="008B2003">
        <w:rPr>
          <w:rFonts w:asciiTheme="majorHAnsi" w:eastAsia="Cordia New" w:hAnsiTheme="majorHAnsi" w:cstheme="majorHAnsi"/>
          <w:color w:val="auto"/>
          <w:sz w:val="22"/>
          <w:szCs w:val="22"/>
          <w:lang w:eastAsia="zh-CN"/>
        </w:rPr>
        <w:t>4</w:t>
      </w:r>
      <w:r w:rsidR="00022CC4" w:rsidRPr="008B2003">
        <w:rPr>
          <w:rFonts w:asciiTheme="majorHAnsi" w:eastAsia="Cordia New" w:hAnsiTheme="majorHAnsi" w:cstheme="majorHAnsi"/>
          <w:color w:val="auto"/>
          <w:sz w:val="22"/>
          <w:szCs w:val="22"/>
          <w:lang w:eastAsia="zh-CN"/>
        </w:rPr>
        <w:t xml:space="preserve"> and </w:t>
      </w:r>
      <w:r w:rsidR="00D65478" w:rsidRPr="008B2003">
        <w:rPr>
          <w:rFonts w:asciiTheme="majorHAnsi" w:eastAsia="Cordia New" w:hAnsiTheme="majorHAnsi" w:cstheme="majorHAnsi"/>
          <w:color w:val="auto"/>
          <w:sz w:val="22"/>
          <w:szCs w:val="22"/>
          <w:lang w:eastAsia="zh-CN"/>
        </w:rPr>
        <w:t>22</w:t>
      </w:r>
      <w:r w:rsidR="00022CC4" w:rsidRPr="008B2003">
        <w:rPr>
          <w:rFonts w:asciiTheme="majorHAnsi" w:eastAsia="Cordia New" w:hAnsiTheme="majorHAnsi" w:cstheme="majorHAnsi"/>
          <w:color w:val="auto"/>
          <w:sz w:val="22"/>
          <w:szCs w:val="22"/>
          <w:lang w:eastAsia="zh-CN"/>
        </w:rPr>
        <w:t xml:space="preserve"> (a)</w:t>
      </w:r>
      <w:r w:rsidR="00022CC4" w:rsidRPr="00BC215F">
        <w:rPr>
          <w:rFonts w:asciiTheme="majorHAnsi" w:eastAsia="Cordia New" w:hAnsiTheme="majorHAnsi" w:cstheme="majorHAnsi"/>
          <w:color w:val="auto"/>
          <w:sz w:val="22"/>
          <w:szCs w:val="22"/>
          <w:lang w:eastAsia="zh-CN"/>
        </w:rPr>
        <w:t xml:space="preserve"> to the financial statements) after deducting cash received from the said subsidiary subsequent to the reporting period up to the present, and did not reflect the expected</w:t>
      </w:r>
      <w:r w:rsidR="00022CC4" w:rsidRPr="00022CC4">
        <w:rPr>
          <w:rFonts w:asciiTheme="majorHAnsi" w:eastAsia="Cordia New" w:hAnsiTheme="majorHAnsi" w:cstheme="majorHAnsi"/>
          <w:color w:val="auto"/>
          <w:sz w:val="22"/>
          <w:szCs w:val="22"/>
          <w:lang w:eastAsia="zh-CN"/>
        </w:rPr>
        <w:t xml:space="preserve"> cash flows from the aforementioned </w:t>
      </w:r>
      <w:r w:rsidR="00022CC4" w:rsidRPr="00022CC4">
        <w:rPr>
          <w:rFonts w:asciiTheme="majorHAnsi" w:eastAsia="Cordia New" w:hAnsiTheme="majorHAnsi" w:cstheme="majorHAnsi"/>
          <w:color w:val="auto"/>
          <w:sz w:val="22"/>
          <w:szCs w:val="22"/>
          <w:lang w:eastAsia="zh-CN"/>
        </w:rPr>
        <w:lastRenderedPageBreak/>
        <w:t>investment disposal plan. This loss was recognised in the separate statement of comprehensive income for the year ended 31 December 2024.</w:t>
      </w:r>
    </w:p>
    <w:p w14:paraId="7E8E336F" w14:textId="77777777" w:rsidR="00D30F67" w:rsidRDefault="00D30F67" w:rsidP="002179D6">
      <w:pPr>
        <w:spacing w:line="240" w:lineRule="auto"/>
        <w:ind w:left="459"/>
        <w:jc w:val="thaiDistribute"/>
        <w:rPr>
          <w:rFonts w:asciiTheme="majorHAnsi" w:eastAsia="Cordia New" w:hAnsiTheme="majorHAnsi" w:cstheme="majorHAnsi"/>
          <w:color w:val="auto"/>
          <w:sz w:val="22"/>
          <w:szCs w:val="22"/>
          <w:lang w:eastAsia="zh-CN"/>
        </w:rPr>
      </w:pPr>
    </w:p>
    <w:p w14:paraId="1265B733" w14:textId="498E98F1" w:rsidR="00817B74" w:rsidRDefault="006C704C" w:rsidP="002179D6">
      <w:pPr>
        <w:spacing w:line="240" w:lineRule="auto"/>
        <w:ind w:left="459"/>
        <w:jc w:val="thaiDistribute"/>
        <w:rPr>
          <w:rFonts w:asciiTheme="majorHAnsi" w:eastAsia="Cordia New" w:hAnsiTheme="majorHAnsi" w:cstheme="majorHAnsi"/>
          <w:color w:val="auto"/>
          <w:sz w:val="22"/>
          <w:szCs w:val="22"/>
          <w:lang w:eastAsia="zh-CN"/>
        </w:rPr>
      </w:pPr>
      <w:r w:rsidRPr="006C704C">
        <w:rPr>
          <w:rFonts w:asciiTheme="majorHAnsi" w:eastAsia="Cordia New" w:hAnsiTheme="majorHAnsi" w:cstheme="majorHAnsi"/>
          <w:color w:val="auto"/>
          <w:sz w:val="22"/>
          <w:szCs w:val="22"/>
          <w:lang w:eastAsia="zh-CN"/>
        </w:rPr>
        <w:t>However, I have not yet obtained evidence of the fair value assessment of the assets and liabilities of the KAL Group as at the date when the shareholding in KAL was changed from 49</w:t>
      </w:r>
      <w:r w:rsidR="00DC049B">
        <w:rPr>
          <w:rFonts w:asciiTheme="majorHAnsi" w:eastAsia="Cordia New" w:hAnsiTheme="majorHAnsi" w:cstheme="majorHAnsi"/>
          <w:color w:val="auto"/>
          <w:sz w:val="22"/>
          <w:szCs w:val="22"/>
          <w:lang w:eastAsia="zh-CN"/>
        </w:rPr>
        <w:t>%</w:t>
      </w:r>
      <w:r w:rsidRPr="006C704C">
        <w:rPr>
          <w:rFonts w:asciiTheme="majorHAnsi" w:eastAsia="Cordia New" w:hAnsiTheme="majorHAnsi" w:cstheme="majorHAnsi"/>
          <w:color w:val="auto"/>
          <w:sz w:val="22"/>
          <w:szCs w:val="22"/>
          <w:lang w:eastAsia="zh-CN"/>
        </w:rPr>
        <w:t xml:space="preserve"> to 100</w:t>
      </w:r>
      <w:r w:rsidR="00DC049B">
        <w:rPr>
          <w:rFonts w:asciiTheme="majorHAnsi" w:eastAsia="Cordia New" w:hAnsiTheme="majorHAnsi" w:cstheme="majorHAnsi"/>
          <w:color w:val="auto"/>
          <w:sz w:val="22"/>
          <w:szCs w:val="22"/>
          <w:lang w:eastAsia="zh-CN"/>
        </w:rPr>
        <w:t>%</w:t>
      </w:r>
      <w:r w:rsidRPr="006C704C">
        <w:rPr>
          <w:rFonts w:asciiTheme="majorHAnsi" w:eastAsia="Cordia New" w:hAnsiTheme="majorHAnsi" w:cstheme="majorHAnsi"/>
          <w:color w:val="auto"/>
          <w:sz w:val="22"/>
          <w:szCs w:val="22"/>
          <w:lang w:eastAsia="zh-CN"/>
        </w:rPr>
        <w:t>. It is expected that such evidence will be obtained, or that review procedures will be performed, in respect of the recognition of the loss on the asset acquisition of Baht 421.1 million (restated), which was recorded in the opening retained earnings.</w:t>
      </w:r>
      <w:r w:rsidR="00E053EF" w:rsidRPr="00E053EF">
        <w:t xml:space="preserve"> </w:t>
      </w:r>
      <w:r w:rsidR="00E053EF" w:rsidRPr="00E053EF">
        <w:rPr>
          <w:rFonts w:asciiTheme="majorHAnsi" w:eastAsia="Cordia New" w:hAnsiTheme="majorHAnsi" w:cstheme="majorHAnsi"/>
          <w:color w:val="auto"/>
          <w:sz w:val="22"/>
          <w:szCs w:val="22"/>
          <w:lang w:eastAsia="zh-CN"/>
        </w:rPr>
        <w:t>Due to the scope limitation regarding the valuation of the investment in the ordinary shares of the “acquirer” company, as mentioned in paragraph 1 above, I therefore did not have sufficient information to review the recognition of the expected credit loss (ECL) on loans to a subsidiary and accrued interest receivable amounting to Baht 292.</w:t>
      </w:r>
      <w:r w:rsidR="001B3714">
        <w:rPr>
          <w:rFonts w:asciiTheme="majorHAnsi" w:eastAsia="Cordia New" w:hAnsiTheme="majorHAnsi" w:cstheme="majorHAnsi"/>
          <w:color w:val="auto"/>
          <w:sz w:val="22"/>
          <w:szCs w:val="22"/>
          <w:lang w:eastAsia="zh-CN"/>
        </w:rPr>
        <w:t>9</w:t>
      </w:r>
      <w:r w:rsidR="00E053EF" w:rsidRPr="00E053EF">
        <w:rPr>
          <w:rFonts w:asciiTheme="majorHAnsi" w:eastAsia="Cordia New" w:hAnsiTheme="majorHAnsi" w:cstheme="majorHAnsi"/>
          <w:color w:val="auto"/>
          <w:sz w:val="22"/>
          <w:szCs w:val="22"/>
          <w:lang w:eastAsia="zh-CN"/>
        </w:rPr>
        <w:t xml:space="preserve"> million in opening retained earnings for the period ended 31 March 2025, as well as the ECL loss of Baht 1</w:t>
      </w:r>
      <w:r w:rsidR="00D05863">
        <w:rPr>
          <w:rFonts w:asciiTheme="majorHAnsi" w:eastAsia="Cordia New" w:hAnsiTheme="majorHAnsi" w:cs="Browallia New"/>
          <w:color w:val="auto"/>
          <w:sz w:val="22"/>
          <w:szCs w:val="28"/>
          <w:lang w:eastAsia="zh-CN" w:bidi="th-TH"/>
        </w:rPr>
        <w:t>6.1</w:t>
      </w:r>
      <w:r w:rsidR="00E053EF" w:rsidRPr="00E053EF">
        <w:rPr>
          <w:rFonts w:asciiTheme="majorHAnsi" w:eastAsia="Cordia New" w:hAnsiTheme="majorHAnsi" w:cstheme="majorHAnsi"/>
          <w:color w:val="auto"/>
          <w:sz w:val="22"/>
          <w:szCs w:val="22"/>
          <w:lang w:eastAsia="zh-CN"/>
        </w:rPr>
        <w:t xml:space="preserve"> million recognised in the separate statement of comprehensive income for the three-month period ended 31 March 2025.</w:t>
      </w:r>
      <w:r w:rsidR="00E053EF" w:rsidRPr="00E053EF">
        <w:t xml:space="preserve"> </w:t>
      </w:r>
      <w:r w:rsidR="00E053EF" w:rsidRPr="00E053EF">
        <w:rPr>
          <w:rFonts w:asciiTheme="majorHAnsi" w:eastAsia="Cordia New" w:hAnsiTheme="majorHAnsi" w:cstheme="majorHAnsi"/>
          <w:color w:val="auto"/>
          <w:sz w:val="22"/>
          <w:szCs w:val="22"/>
          <w:lang w:eastAsia="zh-CN"/>
        </w:rPr>
        <w:t>Accordingly, I was unable to determine whether, and to what extent, adjustments might be necessary to the loss on the asset acquisition presented in opening retained earnings, the carrying amounts of the assets and liabilities of the KAL Group presented as part of the respective line items in the consolidated financial statements as at 31 March 2025, and the expected credit loss on the loans to a subsidiary and accrued interest receivable presented in the separate statement of comprehensive income for the three-month period ended 31 March 2025, and recognised as assets in the separate financial statements as at 31 March 2025.</w:t>
      </w:r>
    </w:p>
    <w:p w14:paraId="116F437B" w14:textId="77777777" w:rsidR="00817B74" w:rsidRDefault="00817B74" w:rsidP="002179D6">
      <w:pPr>
        <w:spacing w:line="240" w:lineRule="auto"/>
        <w:ind w:left="459"/>
        <w:jc w:val="thaiDistribute"/>
        <w:rPr>
          <w:rFonts w:asciiTheme="majorHAnsi" w:eastAsia="Cordia New" w:hAnsiTheme="majorHAnsi" w:cstheme="majorHAnsi"/>
          <w:color w:val="auto"/>
          <w:sz w:val="22"/>
          <w:szCs w:val="22"/>
          <w:lang w:eastAsia="zh-CN"/>
        </w:rPr>
      </w:pPr>
    </w:p>
    <w:p w14:paraId="490005CC" w14:textId="163AF2D2" w:rsidR="0091301E" w:rsidRDefault="0091301E" w:rsidP="00854B6B">
      <w:pPr>
        <w:numPr>
          <w:ilvl w:val="0"/>
          <w:numId w:val="2"/>
        </w:numPr>
        <w:spacing w:line="240" w:lineRule="auto"/>
        <w:ind w:left="450"/>
        <w:jc w:val="thaiDistribute"/>
        <w:rPr>
          <w:rFonts w:asciiTheme="majorHAnsi" w:eastAsia="Cordia New" w:hAnsiTheme="majorHAnsi" w:cstheme="majorHAnsi"/>
          <w:color w:val="auto"/>
          <w:sz w:val="22"/>
          <w:szCs w:val="22"/>
          <w:lang w:eastAsia="zh-CN"/>
        </w:rPr>
      </w:pPr>
      <w:r w:rsidRPr="0091301E">
        <w:rPr>
          <w:rFonts w:asciiTheme="majorHAnsi" w:eastAsia="Cordia New" w:hAnsiTheme="majorHAnsi" w:cstheme="majorHAnsi"/>
          <w:color w:val="auto"/>
          <w:sz w:val="22"/>
          <w:szCs w:val="22"/>
          <w:lang w:eastAsia="zh-CN"/>
        </w:rPr>
        <w:t xml:space="preserve">The investments mentioned in items 1 to 3 above are held by three subsidiaries (Nove Foods Limited, NRF Consumer Limited, and Regeneration Capital Limited), all of which are operated specifically as investment holding companies. The Company holds these investments in the three subsidiaries and presents their value using the cost method, totaling net value of Baht </w:t>
      </w:r>
      <w:r w:rsidR="00297E03" w:rsidRPr="00297E03">
        <w:rPr>
          <w:rFonts w:asciiTheme="majorHAnsi" w:eastAsia="Cordia New" w:hAnsiTheme="majorHAnsi" w:cstheme="majorHAnsi"/>
          <w:color w:val="auto"/>
          <w:sz w:val="22"/>
          <w:szCs w:val="22"/>
          <w:lang w:eastAsia="zh-CN"/>
        </w:rPr>
        <w:t>1,873.2 million (restated)</w:t>
      </w:r>
      <w:r w:rsidRPr="0091301E">
        <w:rPr>
          <w:rFonts w:asciiTheme="majorHAnsi" w:eastAsia="Cordia New" w:hAnsiTheme="majorHAnsi" w:cstheme="majorHAnsi"/>
          <w:color w:val="auto"/>
          <w:sz w:val="22"/>
          <w:szCs w:val="22"/>
          <w:lang w:eastAsia="zh-CN"/>
        </w:rPr>
        <w:t xml:space="preserve">, which is part of the investment in subsidiaries in the separate statement of financial position as at 31 </w:t>
      </w:r>
      <w:r w:rsidR="00F31EAC">
        <w:rPr>
          <w:rFonts w:asciiTheme="majorHAnsi" w:eastAsia="Cordia New" w:hAnsiTheme="majorHAnsi" w:cstheme="majorHAnsi"/>
          <w:color w:val="auto"/>
          <w:sz w:val="22"/>
          <w:szCs w:val="22"/>
          <w:lang w:eastAsia="zh-CN"/>
        </w:rPr>
        <w:t>March</w:t>
      </w:r>
      <w:r w:rsidR="00F31EAC" w:rsidRPr="0091301E">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202</w:t>
      </w:r>
      <w:r w:rsidR="00F31EAC">
        <w:rPr>
          <w:rFonts w:asciiTheme="majorHAnsi" w:eastAsia="Cordia New" w:hAnsiTheme="majorHAnsi" w:cstheme="majorHAnsi"/>
          <w:color w:val="auto"/>
          <w:sz w:val="22"/>
          <w:szCs w:val="22"/>
          <w:lang w:eastAsia="zh-CN"/>
        </w:rPr>
        <w:t>5</w:t>
      </w:r>
      <w:r w:rsidRPr="0091301E">
        <w:rPr>
          <w:rFonts w:asciiTheme="majorHAnsi" w:eastAsia="Cordia New" w:hAnsiTheme="majorHAnsi" w:cstheme="majorHAnsi"/>
          <w:color w:val="auto"/>
          <w:sz w:val="22"/>
          <w:szCs w:val="22"/>
          <w:lang w:eastAsia="zh-CN"/>
        </w:rPr>
        <w:t xml:space="preserve">. </w:t>
      </w:r>
      <w:r w:rsidR="004A43FD">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The Company cannot assess the expected recoverable value of the investments in the three subsidiaries </w:t>
      </w:r>
      <w:r w:rsidR="00F9068D">
        <w:rPr>
          <w:rFonts w:asciiTheme="majorHAnsi" w:eastAsia="Cordia New" w:hAnsiTheme="majorHAnsi" w:cstheme="majorHAnsi"/>
          <w:color w:val="auto"/>
          <w:sz w:val="22"/>
          <w:szCs w:val="22"/>
          <w:lang w:eastAsia="zh-CN"/>
        </w:rPr>
        <w:t>as it</w:t>
      </w:r>
      <w:r w:rsidRPr="0091301E">
        <w:rPr>
          <w:rFonts w:asciiTheme="majorHAnsi" w:eastAsia="Cordia New" w:hAnsiTheme="majorHAnsi" w:cstheme="majorHAnsi"/>
          <w:color w:val="auto"/>
          <w:sz w:val="22"/>
          <w:szCs w:val="22"/>
          <w:lang w:eastAsia="zh-CN"/>
        </w:rPr>
        <w:t xml:space="preserve"> depend</w:t>
      </w:r>
      <w:r w:rsidR="00F9068D">
        <w:rPr>
          <w:rFonts w:asciiTheme="majorHAnsi" w:eastAsia="Cordia New" w:hAnsiTheme="majorHAnsi" w:cstheme="majorHAnsi"/>
          <w:color w:val="auto"/>
          <w:sz w:val="22"/>
          <w:szCs w:val="22"/>
          <w:lang w:eastAsia="zh-CN"/>
        </w:rPr>
        <w:t>s</w:t>
      </w:r>
      <w:r w:rsidRPr="0091301E">
        <w:rPr>
          <w:rFonts w:asciiTheme="majorHAnsi" w:eastAsia="Cordia New" w:hAnsiTheme="majorHAnsi" w:cstheme="majorHAnsi"/>
          <w:color w:val="auto"/>
          <w:sz w:val="22"/>
          <w:szCs w:val="22"/>
          <w:lang w:eastAsia="zh-CN"/>
        </w:rPr>
        <w:t xml:space="preserve"> on the value of the investments held by the</w:t>
      </w:r>
      <w:r w:rsidR="004C0C03">
        <w:rPr>
          <w:rFonts w:asciiTheme="majorHAnsi" w:eastAsia="Cordia New" w:hAnsiTheme="majorHAnsi" w:cstheme="majorHAnsi"/>
          <w:color w:val="auto"/>
          <w:sz w:val="22"/>
          <w:szCs w:val="22"/>
          <w:lang w:eastAsia="zh-CN"/>
        </w:rPr>
        <w:t>se</w:t>
      </w:r>
      <w:r w:rsidRPr="0091301E">
        <w:rPr>
          <w:rFonts w:asciiTheme="majorHAnsi" w:eastAsia="Cordia New" w:hAnsiTheme="majorHAnsi" w:cstheme="majorHAnsi"/>
          <w:color w:val="auto"/>
          <w:sz w:val="22"/>
          <w:szCs w:val="22"/>
          <w:lang w:eastAsia="zh-CN"/>
        </w:rPr>
        <w:t xml:space="preserve"> three subsidiaries as </w:t>
      </w:r>
      <w:r w:rsidR="004A43FD">
        <w:rPr>
          <w:rFonts w:asciiTheme="majorHAnsi" w:eastAsia="Cordia New" w:hAnsiTheme="majorHAnsi" w:cstheme="majorHAnsi"/>
          <w:color w:val="auto"/>
          <w:sz w:val="22"/>
          <w:szCs w:val="22"/>
          <w:lang w:eastAsia="zh-CN"/>
        </w:rPr>
        <w:t>set out</w:t>
      </w:r>
      <w:r w:rsidR="004A43FD" w:rsidRPr="0091301E">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in Note </w:t>
      </w:r>
      <w:r w:rsidR="009760BF">
        <w:rPr>
          <w:rFonts w:asciiTheme="majorHAnsi" w:eastAsia="Cordia New" w:hAnsiTheme="majorHAnsi" w:cstheme="majorHAnsi"/>
          <w:color w:val="auto"/>
          <w:sz w:val="22"/>
          <w:szCs w:val="22"/>
          <w:lang w:eastAsia="zh-CN"/>
        </w:rPr>
        <w:t>9.2</w:t>
      </w:r>
      <w:r w:rsidRPr="0091301E">
        <w:rPr>
          <w:rFonts w:asciiTheme="majorHAnsi" w:eastAsia="Cordia New" w:hAnsiTheme="majorHAnsi" w:cstheme="majorHAnsi"/>
          <w:color w:val="auto"/>
          <w:sz w:val="22"/>
          <w:szCs w:val="22"/>
          <w:lang w:eastAsia="zh-CN"/>
        </w:rPr>
        <w:t xml:space="preserve"> to the </w:t>
      </w:r>
      <w:r w:rsidR="00B71C4B">
        <w:rPr>
          <w:rFonts w:asciiTheme="majorHAnsi" w:eastAsia="Cordia New" w:hAnsiTheme="majorHAnsi" w:cstheme="majorHAnsi"/>
          <w:color w:val="auto"/>
          <w:sz w:val="22"/>
          <w:szCs w:val="22"/>
          <w:lang w:eastAsia="zh-CN"/>
        </w:rPr>
        <w:t xml:space="preserve">interim </w:t>
      </w:r>
      <w:r w:rsidRPr="0091301E">
        <w:rPr>
          <w:rFonts w:asciiTheme="majorHAnsi" w:eastAsia="Cordia New" w:hAnsiTheme="majorHAnsi" w:cstheme="majorHAnsi"/>
          <w:color w:val="auto"/>
          <w:sz w:val="22"/>
          <w:szCs w:val="22"/>
          <w:lang w:eastAsia="zh-CN"/>
        </w:rPr>
        <w:t xml:space="preserve">financial </w:t>
      </w:r>
      <w:r w:rsidR="00CC34B0" w:rsidRPr="00CC34B0">
        <w:rPr>
          <w:rFonts w:asciiTheme="majorHAnsi" w:eastAsia="Cordia New" w:hAnsiTheme="majorHAnsi" w:cstheme="majorHAnsi"/>
          <w:color w:val="auto"/>
          <w:sz w:val="22"/>
          <w:szCs w:val="22"/>
          <w:lang w:eastAsia="zh-CN"/>
        </w:rPr>
        <w:t>information</w:t>
      </w:r>
      <w:r w:rsidR="004A43FD">
        <w:rPr>
          <w:rFonts w:asciiTheme="majorHAnsi" w:eastAsia="Cordia New" w:hAnsiTheme="majorHAnsi" w:cstheme="majorHAnsi"/>
          <w:color w:val="auto"/>
          <w:sz w:val="22"/>
          <w:szCs w:val="22"/>
          <w:lang w:eastAsia="zh-CN"/>
        </w:rPr>
        <w:t>,</w:t>
      </w:r>
      <w:r w:rsidR="00CC34B0" w:rsidRPr="00CC34B0" w:rsidDel="00CC34B0">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and as </w:t>
      </w:r>
      <w:r w:rsidR="004A43FD">
        <w:rPr>
          <w:rFonts w:asciiTheme="majorHAnsi" w:eastAsia="Cordia New" w:hAnsiTheme="majorHAnsi" w:cstheme="majorHAnsi"/>
          <w:color w:val="auto"/>
          <w:sz w:val="22"/>
          <w:szCs w:val="22"/>
          <w:lang w:eastAsia="zh-CN"/>
        </w:rPr>
        <w:t>described</w:t>
      </w:r>
      <w:r w:rsidRPr="0091301E">
        <w:rPr>
          <w:rFonts w:asciiTheme="majorHAnsi" w:eastAsia="Cordia New" w:hAnsiTheme="majorHAnsi" w:cstheme="majorHAnsi"/>
          <w:color w:val="auto"/>
          <w:sz w:val="22"/>
          <w:szCs w:val="22"/>
          <w:lang w:eastAsia="zh-CN"/>
        </w:rPr>
        <w:t xml:space="preserve"> in items 1 to 3 above.</w:t>
      </w:r>
    </w:p>
    <w:p w14:paraId="3FF05B16" w14:textId="77777777" w:rsidR="00854B6B" w:rsidRPr="0091301E" w:rsidRDefault="00854B6B" w:rsidP="00854B6B">
      <w:pPr>
        <w:spacing w:line="240" w:lineRule="auto"/>
        <w:ind w:left="450"/>
        <w:jc w:val="thaiDistribute"/>
        <w:rPr>
          <w:rFonts w:asciiTheme="majorHAnsi" w:eastAsia="Cordia New" w:hAnsiTheme="majorHAnsi" w:cstheme="majorHAnsi"/>
          <w:color w:val="auto"/>
          <w:sz w:val="22"/>
          <w:szCs w:val="22"/>
          <w:lang w:eastAsia="zh-CN"/>
        </w:rPr>
      </w:pPr>
    </w:p>
    <w:p w14:paraId="20EB51C8" w14:textId="434E32A1" w:rsidR="0091301E" w:rsidRDefault="0091301E" w:rsidP="00854B6B">
      <w:pPr>
        <w:spacing w:line="240" w:lineRule="auto"/>
        <w:ind w:left="459"/>
        <w:jc w:val="thaiDistribute"/>
        <w:rPr>
          <w:rFonts w:asciiTheme="majorHAnsi" w:eastAsia="Cordia New" w:hAnsiTheme="majorHAnsi" w:cstheme="majorHAnsi"/>
          <w:color w:val="auto"/>
          <w:sz w:val="22"/>
          <w:szCs w:val="22"/>
          <w:lang w:eastAsia="zh-CN"/>
        </w:rPr>
      </w:pPr>
      <w:r w:rsidRPr="0091301E">
        <w:rPr>
          <w:rFonts w:asciiTheme="majorHAnsi" w:eastAsia="Cordia New" w:hAnsiTheme="majorHAnsi" w:cstheme="majorHAnsi"/>
          <w:color w:val="auto"/>
          <w:sz w:val="22"/>
          <w:szCs w:val="22"/>
          <w:lang w:eastAsia="zh-CN"/>
        </w:rPr>
        <w:t xml:space="preserve">Therefore, I do not have sufficient information </w:t>
      </w:r>
      <w:r w:rsidR="004A26C2">
        <w:rPr>
          <w:rFonts w:asciiTheme="majorHAnsi" w:eastAsia="Cordia New" w:hAnsiTheme="majorHAnsi" w:cstheme="majorHAnsi"/>
          <w:color w:val="auto"/>
          <w:sz w:val="22"/>
          <w:szCs w:val="22"/>
          <w:lang w:eastAsia="zh-CN"/>
        </w:rPr>
        <w:t xml:space="preserve">to assess the recoverable value </w:t>
      </w:r>
      <w:r w:rsidRPr="0091301E">
        <w:rPr>
          <w:rFonts w:asciiTheme="majorHAnsi" w:eastAsia="Cordia New" w:hAnsiTheme="majorHAnsi" w:cstheme="majorHAnsi"/>
          <w:color w:val="auto"/>
          <w:sz w:val="22"/>
          <w:szCs w:val="22"/>
          <w:lang w:eastAsia="zh-CN"/>
        </w:rPr>
        <w:t xml:space="preserve">or to apply other procedures to satisfy myself </w:t>
      </w:r>
      <w:r w:rsidR="004A26C2">
        <w:rPr>
          <w:rFonts w:asciiTheme="majorHAnsi" w:eastAsia="Cordia New" w:hAnsiTheme="majorHAnsi" w:cstheme="majorHAnsi"/>
          <w:color w:val="auto"/>
          <w:sz w:val="22"/>
          <w:szCs w:val="22"/>
          <w:lang w:eastAsia="zh-CN"/>
        </w:rPr>
        <w:t xml:space="preserve">as to </w:t>
      </w:r>
      <w:r w:rsidRPr="0091301E">
        <w:rPr>
          <w:rFonts w:asciiTheme="majorHAnsi" w:eastAsia="Cordia New" w:hAnsiTheme="majorHAnsi" w:cstheme="majorHAnsi"/>
          <w:color w:val="auto"/>
          <w:sz w:val="22"/>
          <w:szCs w:val="22"/>
          <w:lang w:eastAsia="zh-CN"/>
        </w:rPr>
        <w:t xml:space="preserve">the </w:t>
      </w:r>
      <w:r w:rsidR="004A26C2">
        <w:rPr>
          <w:rFonts w:asciiTheme="majorHAnsi" w:eastAsia="Cordia New" w:hAnsiTheme="majorHAnsi" w:cstheme="majorHAnsi"/>
          <w:color w:val="auto"/>
          <w:sz w:val="22"/>
          <w:szCs w:val="22"/>
          <w:lang w:eastAsia="zh-CN"/>
        </w:rPr>
        <w:t xml:space="preserve">recoverable </w:t>
      </w:r>
      <w:r w:rsidRPr="0091301E">
        <w:rPr>
          <w:rFonts w:asciiTheme="majorHAnsi" w:eastAsia="Cordia New" w:hAnsiTheme="majorHAnsi" w:cstheme="majorHAnsi"/>
          <w:color w:val="auto"/>
          <w:sz w:val="22"/>
          <w:szCs w:val="22"/>
          <w:lang w:eastAsia="zh-CN"/>
        </w:rPr>
        <w:t>value of the investments in subsidiaries amounting to Baht 1,</w:t>
      </w:r>
      <w:r w:rsidR="00BE764B">
        <w:rPr>
          <w:rFonts w:asciiTheme="majorHAnsi" w:eastAsia="Cordia New" w:hAnsiTheme="majorHAnsi" w:cstheme="majorHAnsi"/>
          <w:color w:val="auto"/>
          <w:sz w:val="22"/>
          <w:szCs w:val="22"/>
          <w:lang w:eastAsia="zh-CN"/>
        </w:rPr>
        <w:t>873.2</w:t>
      </w:r>
      <w:r w:rsidRPr="0091301E">
        <w:rPr>
          <w:rFonts w:asciiTheme="majorHAnsi" w:eastAsia="Cordia New" w:hAnsiTheme="majorHAnsi" w:cstheme="majorHAnsi"/>
          <w:color w:val="auto"/>
          <w:sz w:val="22"/>
          <w:szCs w:val="22"/>
          <w:lang w:eastAsia="zh-CN"/>
        </w:rPr>
        <w:t xml:space="preserve"> million</w:t>
      </w:r>
      <w:r w:rsidR="00B37283">
        <w:rPr>
          <w:rFonts w:asciiTheme="majorHAnsi" w:eastAsia="Cordia New" w:hAnsiTheme="majorHAnsi" w:cstheme="majorHAnsi"/>
          <w:color w:val="auto"/>
          <w:sz w:val="22"/>
          <w:szCs w:val="22"/>
          <w:lang w:eastAsia="zh-CN"/>
        </w:rPr>
        <w:t xml:space="preserve"> </w:t>
      </w:r>
      <w:r w:rsidR="00B37283" w:rsidRPr="00817B74">
        <w:rPr>
          <w:rFonts w:asciiTheme="majorHAnsi" w:eastAsia="Cordia New" w:hAnsiTheme="majorHAnsi" w:cstheme="majorHAnsi"/>
          <w:color w:val="auto"/>
          <w:sz w:val="22"/>
          <w:szCs w:val="22"/>
          <w:lang w:eastAsia="zh-CN"/>
        </w:rPr>
        <w:t>(restated)</w:t>
      </w:r>
      <w:r w:rsidRPr="0091301E">
        <w:rPr>
          <w:rFonts w:asciiTheme="majorHAnsi" w:eastAsia="Cordia New" w:hAnsiTheme="majorHAnsi" w:cstheme="majorHAnsi"/>
          <w:color w:val="auto"/>
          <w:sz w:val="22"/>
          <w:szCs w:val="22"/>
          <w:lang w:eastAsia="zh-CN"/>
        </w:rPr>
        <w:t xml:space="preserve">, and I was unable to determine whether and to what extent any adjustments might be necessary to the value of the investments in </w:t>
      </w:r>
      <w:r w:rsidR="004A26C2">
        <w:rPr>
          <w:rFonts w:asciiTheme="majorHAnsi" w:eastAsia="Cordia New" w:hAnsiTheme="majorHAnsi" w:cstheme="majorHAnsi"/>
          <w:color w:val="auto"/>
          <w:sz w:val="22"/>
          <w:szCs w:val="22"/>
          <w:lang w:eastAsia="zh-CN"/>
        </w:rPr>
        <w:t>these</w:t>
      </w:r>
      <w:r w:rsidRPr="0091301E">
        <w:rPr>
          <w:rFonts w:asciiTheme="majorHAnsi" w:eastAsia="Cordia New" w:hAnsiTheme="majorHAnsi" w:cstheme="majorHAnsi"/>
          <w:color w:val="auto"/>
          <w:sz w:val="22"/>
          <w:szCs w:val="22"/>
          <w:lang w:eastAsia="zh-CN"/>
        </w:rPr>
        <w:t xml:space="preserve"> subsidiaries in the separate statement of financial position as at 31</w:t>
      </w:r>
      <w:r w:rsidR="001334E4">
        <w:rPr>
          <w:rFonts w:asciiTheme="majorHAnsi" w:eastAsia="Cordia New" w:hAnsiTheme="majorHAnsi" w:cstheme="majorHAnsi"/>
          <w:color w:val="auto"/>
          <w:sz w:val="22"/>
          <w:szCs w:val="22"/>
          <w:lang w:eastAsia="zh-CN"/>
        </w:rPr>
        <w:t xml:space="preserve"> March </w:t>
      </w:r>
      <w:r w:rsidRPr="0091301E">
        <w:rPr>
          <w:rFonts w:asciiTheme="majorHAnsi" w:eastAsia="Cordia New" w:hAnsiTheme="majorHAnsi" w:cstheme="majorHAnsi"/>
          <w:color w:val="auto"/>
          <w:sz w:val="22"/>
          <w:szCs w:val="22"/>
          <w:lang w:eastAsia="zh-CN"/>
        </w:rPr>
        <w:t>202</w:t>
      </w:r>
      <w:r w:rsidR="001334E4">
        <w:rPr>
          <w:rFonts w:asciiTheme="majorHAnsi" w:eastAsia="Cordia New" w:hAnsiTheme="majorHAnsi" w:cstheme="majorHAnsi"/>
          <w:color w:val="auto"/>
          <w:sz w:val="22"/>
          <w:szCs w:val="22"/>
          <w:lang w:eastAsia="zh-CN"/>
        </w:rPr>
        <w:t>5</w:t>
      </w:r>
      <w:r w:rsidRPr="0091301E">
        <w:rPr>
          <w:rFonts w:asciiTheme="majorHAnsi" w:eastAsia="Cordia New" w:hAnsiTheme="majorHAnsi" w:cstheme="majorHAnsi"/>
          <w:color w:val="auto"/>
          <w:sz w:val="22"/>
          <w:szCs w:val="22"/>
          <w:lang w:eastAsia="zh-CN"/>
        </w:rPr>
        <w:t>.</w:t>
      </w:r>
    </w:p>
    <w:p w14:paraId="0A541BDE" w14:textId="77777777" w:rsidR="00750803" w:rsidRDefault="00750803" w:rsidP="00854B6B">
      <w:pPr>
        <w:spacing w:line="240" w:lineRule="auto"/>
        <w:ind w:left="459"/>
        <w:jc w:val="thaiDistribute"/>
        <w:rPr>
          <w:rFonts w:asciiTheme="majorHAnsi" w:eastAsia="Cordia New" w:hAnsiTheme="majorHAnsi" w:cstheme="majorHAnsi"/>
          <w:color w:val="auto"/>
          <w:sz w:val="22"/>
          <w:szCs w:val="22"/>
          <w:lang w:eastAsia="zh-CN"/>
        </w:rPr>
      </w:pPr>
    </w:p>
    <w:p w14:paraId="324D62FD" w14:textId="77777777" w:rsidR="00BF65E7" w:rsidRDefault="00BF65E7" w:rsidP="00BF65E7">
      <w:pPr>
        <w:spacing w:line="240" w:lineRule="auto"/>
        <w:ind w:left="450"/>
        <w:jc w:val="thaiDistribute"/>
        <w:rPr>
          <w:rFonts w:asciiTheme="majorHAnsi" w:eastAsia="Cordia New" w:hAnsiTheme="majorHAnsi"/>
          <w:color w:val="auto"/>
          <w:sz w:val="22"/>
          <w:szCs w:val="28"/>
          <w:lang w:eastAsia="zh-CN" w:bidi="th-TH"/>
        </w:rPr>
      </w:pPr>
    </w:p>
    <w:p w14:paraId="34BE2AB9" w14:textId="6D87BFCD" w:rsidR="003A3AFC" w:rsidRPr="007245CC" w:rsidRDefault="001334E4" w:rsidP="003A3AFC">
      <w:pPr>
        <w:spacing w:line="240" w:lineRule="auto"/>
        <w:rPr>
          <w:rFonts w:asciiTheme="majorHAnsi" w:eastAsia="Cordia New" w:hAnsiTheme="majorHAnsi" w:cstheme="majorHAnsi"/>
          <w:b/>
          <w:bCs/>
          <w:color w:val="auto"/>
          <w:sz w:val="22"/>
          <w:szCs w:val="22"/>
          <w:lang w:eastAsia="zh-CN"/>
        </w:rPr>
      </w:pPr>
      <w:r w:rsidRPr="00AF14F2">
        <w:rPr>
          <w:rFonts w:asciiTheme="majorHAnsi" w:eastAsia="Cordia New" w:hAnsiTheme="majorHAnsi" w:cstheme="majorHAnsi"/>
          <w:b/>
          <w:bCs/>
          <w:color w:val="auto"/>
          <w:sz w:val="22"/>
          <w:szCs w:val="22"/>
          <w:lang w:eastAsia="zh-CN"/>
        </w:rPr>
        <w:t xml:space="preserve">Qualified </w:t>
      </w:r>
      <w:r>
        <w:rPr>
          <w:rFonts w:asciiTheme="majorHAnsi" w:eastAsia="Cordia New" w:hAnsiTheme="majorHAnsi" w:cstheme="majorHAnsi"/>
          <w:b/>
          <w:bCs/>
          <w:color w:val="auto"/>
          <w:sz w:val="22"/>
          <w:szCs w:val="22"/>
          <w:lang w:eastAsia="zh-CN"/>
        </w:rPr>
        <w:t>Conclusion</w:t>
      </w:r>
    </w:p>
    <w:p w14:paraId="1B8BC902" w14:textId="77777777" w:rsidR="004861AB" w:rsidRPr="007245CC" w:rsidRDefault="004861AB" w:rsidP="004861AB">
      <w:pPr>
        <w:pStyle w:val="Default"/>
        <w:jc w:val="thaiDistribute"/>
        <w:rPr>
          <w:rFonts w:asciiTheme="majorHAnsi" w:hAnsiTheme="majorHAnsi" w:cstheme="majorHAnsi"/>
          <w:sz w:val="22"/>
          <w:szCs w:val="22"/>
          <w:cs/>
        </w:rPr>
      </w:pPr>
    </w:p>
    <w:p w14:paraId="0A5E1BC1" w14:textId="60B74197" w:rsidR="00AC6BD7" w:rsidRDefault="007D4082" w:rsidP="00BD4F8A">
      <w:pPr>
        <w:pStyle w:val="Default"/>
        <w:jc w:val="thaiDistribute"/>
        <w:rPr>
          <w:rFonts w:asciiTheme="majorHAnsi" w:eastAsiaTheme="minorHAnsi" w:hAnsiTheme="majorHAnsi" w:cstheme="majorHAnsi"/>
          <w:color w:val="auto"/>
          <w:spacing w:val="4"/>
          <w:sz w:val="22"/>
          <w:szCs w:val="22"/>
          <w:lang w:bidi="ar-SA"/>
        </w:rPr>
      </w:pPr>
      <w:r w:rsidRPr="007D4082">
        <w:rPr>
          <w:rFonts w:asciiTheme="majorHAnsi" w:eastAsiaTheme="minorHAnsi" w:hAnsiTheme="majorHAnsi" w:cstheme="majorHAnsi"/>
          <w:color w:val="auto"/>
          <w:spacing w:val="4"/>
          <w:sz w:val="22"/>
          <w:szCs w:val="22"/>
          <w:lang w:bidi="ar-SA"/>
        </w:rPr>
        <w:t xml:space="preserve">Except for the possible effects of the matters described in the </w:t>
      </w:r>
      <w:r w:rsidRPr="004B5265">
        <w:rPr>
          <w:rFonts w:asciiTheme="majorHAnsi" w:eastAsiaTheme="minorHAnsi" w:hAnsiTheme="majorHAnsi" w:cstheme="majorHAnsi"/>
          <w:i/>
          <w:iCs/>
          <w:color w:val="auto"/>
          <w:spacing w:val="4"/>
          <w:sz w:val="22"/>
          <w:szCs w:val="22"/>
          <w:lang w:bidi="ar-SA"/>
        </w:rPr>
        <w:t>Basis for Qualified Conclusion</w:t>
      </w:r>
      <w:r w:rsidRPr="007D4082">
        <w:rPr>
          <w:rFonts w:asciiTheme="majorHAnsi" w:eastAsiaTheme="minorHAnsi" w:hAnsiTheme="majorHAnsi" w:cstheme="majorHAnsi"/>
          <w:color w:val="auto"/>
          <w:spacing w:val="4"/>
          <w:sz w:val="22"/>
          <w:szCs w:val="22"/>
          <w:lang w:bidi="ar-SA"/>
        </w:rPr>
        <w:t xml:space="preserve"> section</w:t>
      </w:r>
      <w:r w:rsidR="00C1125A">
        <w:rPr>
          <w:rFonts w:asciiTheme="majorHAnsi" w:eastAsiaTheme="minorHAnsi" w:hAnsiTheme="majorHAnsi" w:cstheme="majorHAnsi"/>
          <w:color w:val="auto"/>
          <w:spacing w:val="4"/>
          <w:sz w:val="22"/>
          <w:szCs w:val="22"/>
          <w:lang w:bidi="ar-SA"/>
        </w:rPr>
        <w:t>, items No.1 to No.</w:t>
      </w:r>
      <w:r w:rsidR="00EF7156">
        <w:rPr>
          <w:rFonts w:asciiTheme="majorHAnsi" w:eastAsiaTheme="minorHAnsi" w:hAnsiTheme="majorHAnsi" w:cs="Browallia New"/>
          <w:color w:val="auto"/>
          <w:spacing w:val="4"/>
          <w:sz w:val="22"/>
          <w:szCs w:val="28"/>
        </w:rPr>
        <w:t>4</w:t>
      </w:r>
      <w:r w:rsidRPr="007D4082">
        <w:rPr>
          <w:rFonts w:asciiTheme="majorHAnsi" w:eastAsiaTheme="minorHAnsi" w:hAnsiTheme="majorHAnsi" w:cstheme="majorHAnsi"/>
          <w:color w:val="auto"/>
          <w:spacing w:val="4"/>
          <w:sz w:val="22"/>
          <w:szCs w:val="22"/>
          <w:lang w:bidi="ar-SA"/>
        </w:rPr>
        <w:t xml:space="preserve"> of my report, based on my review, nothing has come to my attention that causes me to believe that the accompanying interim financial information is not prepared, in all material respects, in accordance with Thai Accounting Standard 34, “Interim Financial Reporting”.</w:t>
      </w:r>
    </w:p>
    <w:p w14:paraId="76F7B670" w14:textId="7E9DC456" w:rsidR="00DF1BE3" w:rsidRPr="00DF1BE3" w:rsidRDefault="00AC6BD7" w:rsidP="00AC6BD7">
      <w:pPr>
        <w:spacing w:after="200" w:line="240" w:lineRule="auto"/>
        <w:rPr>
          <w:rFonts w:asciiTheme="majorHAnsi" w:hAnsiTheme="majorHAnsi"/>
          <w:b/>
          <w:bCs/>
          <w:sz w:val="22"/>
          <w:szCs w:val="28"/>
          <w:lang w:bidi="th-TH"/>
        </w:rPr>
      </w:pPr>
      <w:r>
        <w:rPr>
          <w:rFonts w:asciiTheme="majorHAnsi" w:hAnsiTheme="majorHAnsi" w:cstheme="majorHAnsi"/>
          <w:color w:val="auto"/>
          <w:spacing w:val="4"/>
          <w:sz w:val="22"/>
          <w:szCs w:val="22"/>
        </w:rPr>
        <w:br w:type="page"/>
      </w:r>
    </w:p>
    <w:p w14:paraId="0C25DFA5" w14:textId="7A4DFC0E" w:rsidR="00256216" w:rsidRPr="00A617AB" w:rsidRDefault="00256216" w:rsidP="00BD4F8A">
      <w:pPr>
        <w:pStyle w:val="Default"/>
        <w:jc w:val="thaiDistribute"/>
        <w:rPr>
          <w:rFonts w:asciiTheme="majorHAnsi" w:hAnsiTheme="majorHAnsi" w:cstheme="majorHAnsi"/>
          <w:b/>
          <w:bCs/>
          <w:sz w:val="22"/>
          <w:szCs w:val="22"/>
        </w:rPr>
      </w:pPr>
      <w:r w:rsidRPr="00256216">
        <w:rPr>
          <w:rFonts w:asciiTheme="majorHAnsi" w:hAnsiTheme="majorHAnsi" w:cstheme="majorHAnsi"/>
          <w:b/>
          <w:bCs/>
          <w:sz w:val="22"/>
          <w:szCs w:val="22"/>
        </w:rPr>
        <w:lastRenderedPageBreak/>
        <w:t>Emphasis of Matter</w:t>
      </w:r>
    </w:p>
    <w:p w14:paraId="0544EBA6" w14:textId="77777777" w:rsidR="00BD4F8A" w:rsidRPr="00A617AB" w:rsidRDefault="00BD4F8A" w:rsidP="00BD4F8A">
      <w:pPr>
        <w:pStyle w:val="Default"/>
        <w:jc w:val="thaiDistribute"/>
        <w:rPr>
          <w:rFonts w:asciiTheme="majorHAnsi" w:hAnsiTheme="majorHAnsi" w:cstheme="majorHAnsi"/>
          <w:sz w:val="22"/>
          <w:szCs w:val="22"/>
          <w:cs/>
        </w:rPr>
      </w:pPr>
    </w:p>
    <w:p w14:paraId="6357B281" w14:textId="798256C4" w:rsidR="004B4F2D" w:rsidRDefault="00AD1347" w:rsidP="004B4F2D">
      <w:pPr>
        <w:spacing w:line="240" w:lineRule="auto"/>
        <w:jc w:val="thaiDistribute"/>
        <w:rPr>
          <w:rFonts w:asciiTheme="majorHAnsi" w:hAnsiTheme="majorHAnsi" w:cstheme="majorHAnsi"/>
          <w:color w:val="auto"/>
          <w:spacing w:val="-4"/>
          <w:sz w:val="22"/>
          <w:szCs w:val="22"/>
        </w:rPr>
      </w:pPr>
      <w:r w:rsidRPr="00CB49B2">
        <w:rPr>
          <w:rFonts w:asciiTheme="majorHAnsi" w:hAnsiTheme="majorHAnsi" w:cstheme="majorHAnsi"/>
          <w:color w:val="auto"/>
          <w:spacing w:val="-4"/>
          <w:sz w:val="22"/>
          <w:szCs w:val="22"/>
        </w:rPr>
        <w:t xml:space="preserve">I draw attention to note </w:t>
      </w:r>
      <w:r w:rsidR="006858B7">
        <w:rPr>
          <w:rFonts w:asciiTheme="majorHAnsi" w:hAnsiTheme="majorHAnsi" w:cstheme="majorHAnsi"/>
          <w:color w:val="auto"/>
          <w:spacing w:val="-4"/>
          <w:sz w:val="22"/>
          <w:szCs w:val="22"/>
        </w:rPr>
        <w:t>3</w:t>
      </w:r>
      <w:r w:rsidRPr="00CB49B2">
        <w:rPr>
          <w:rFonts w:asciiTheme="majorHAnsi" w:hAnsiTheme="majorHAnsi" w:cstheme="majorHAnsi"/>
          <w:color w:val="auto"/>
          <w:spacing w:val="-4"/>
          <w:sz w:val="22"/>
          <w:szCs w:val="22"/>
        </w:rPr>
        <w:t xml:space="preserve"> to the interim financial information</w:t>
      </w:r>
      <w:r w:rsidR="00A24E12">
        <w:rPr>
          <w:rFonts w:asciiTheme="majorHAnsi" w:hAnsiTheme="majorHAnsi" w:cstheme="majorHAnsi"/>
          <w:color w:val="auto"/>
          <w:spacing w:val="-4"/>
          <w:sz w:val="22"/>
          <w:szCs w:val="22"/>
        </w:rPr>
        <w:t>.</w:t>
      </w:r>
      <w:r w:rsidR="004B4F2D" w:rsidRPr="004B4F2D">
        <w:rPr>
          <w:rFonts w:asciiTheme="majorHAnsi" w:hAnsiTheme="majorHAnsi" w:cstheme="majorHAnsi"/>
          <w:color w:val="auto"/>
          <w:spacing w:val="-4"/>
          <w:sz w:val="22"/>
          <w:szCs w:val="22"/>
        </w:rPr>
        <w:t xml:space="preserve"> </w:t>
      </w:r>
      <w:r w:rsidR="00FD3889">
        <w:rPr>
          <w:rFonts w:asciiTheme="majorHAnsi" w:hAnsiTheme="majorHAnsi" w:cstheme="majorHAnsi"/>
          <w:color w:val="auto"/>
          <w:spacing w:val="-4"/>
          <w:sz w:val="22"/>
          <w:szCs w:val="22"/>
        </w:rPr>
        <w:t xml:space="preserve">The Group’s and </w:t>
      </w:r>
      <w:r w:rsidR="0095235B">
        <w:rPr>
          <w:rFonts w:asciiTheme="majorHAnsi" w:hAnsiTheme="majorHAnsi" w:cstheme="majorHAnsi"/>
          <w:color w:val="auto"/>
          <w:spacing w:val="-4"/>
          <w:sz w:val="22"/>
          <w:szCs w:val="22"/>
        </w:rPr>
        <w:t xml:space="preserve">the Company </w:t>
      </w:r>
      <w:r w:rsidR="0006611B">
        <w:rPr>
          <w:rFonts w:asciiTheme="majorHAnsi" w:hAnsiTheme="majorHAnsi" w:cstheme="majorHAnsi"/>
          <w:color w:val="auto"/>
          <w:spacing w:val="-4"/>
          <w:sz w:val="22"/>
          <w:szCs w:val="22"/>
        </w:rPr>
        <w:t>i</w:t>
      </w:r>
      <w:r w:rsidR="004A7661">
        <w:rPr>
          <w:rFonts w:asciiTheme="majorHAnsi" w:hAnsiTheme="majorHAnsi" w:cstheme="majorHAnsi"/>
          <w:color w:val="auto"/>
          <w:spacing w:val="-4"/>
          <w:sz w:val="22"/>
          <w:szCs w:val="22"/>
        </w:rPr>
        <w:t>ncurre</w:t>
      </w:r>
      <w:r w:rsidR="00F05E02">
        <w:rPr>
          <w:rFonts w:asciiTheme="majorHAnsi" w:hAnsiTheme="majorHAnsi" w:cstheme="majorHAnsi"/>
          <w:color w:val="auto"/>
          <w:spacing w:val="-4"/>
          <w:sz w:val="22"/>
          <w:szCs w:val="22"/>
        </w:rPr>
        <w:t>d</w:t>
      </w:r>
      <w:r w:rsidR="0006611B">
        <w:rPr>
          <w:rFonts w:asciiTheme="majorHAnsi" w:hAnsiTheme="majorHAnsi" w:cstheme="majorHAnsi"/>
          <w:color w:val="auto"/>
          <w:spacing w:val="-4"/>
          <w:sz w:val="22"/>
          <w:szCs w:val="22"/>
        </w:rPr>
        <w:t xml:space="preserve"> </w:t>
      </w:r>
      <w:r w:rsidR="00C30D0F">
        <w:rPr>
          <w:rFonts w:asciiTheme="majorHAnsi" w:hAnsiTheme="majorHAnsi" w:cstheme="majorHAnsi"/>
          <w:color w:val="auto"/>
          <w:spacing w:val="-4"/>
          <w:sz w:val="22"/>
          <w:szCs w:val="22"/>
        </w:rPr>
        <w:t>loss</w:t>
      </w:r>
      <w:r w:rsidR="00EE2AB9">
        <w:rPr>
          <w:rFonts w:asciiTheme="majorHAnsi" w:hAnsiTheme="majorHAnsi" w:cstheme="majorHAnsi"/>
          <w:color w:val="auto"/>
          <w:spacing w:val="-4"/>
          <w:sz w:val="22"/>
          <w:szCs w:val="22"/>
        </w:rPr>
        <w:t>es</w:t>
      </w:r>
      <w:r w:rsidR="003875F4">
        <w:rPr>
          <w:rFonts w:asciiTheme="majorHAnsi" w:hAnsiTheme="majorHAnsi" w:cstheme="majorHAnsi"/>
          <w:color w:val="auto"/>
          <w:spacing w:val="-4"/>
          <w:sz w:val="22"/>
          <w:szCs w:val="22"/>
        </w:rPr>
        <w:t xml:space="preserve"> </w:t>
      </w:r>
      <w:r w:rsidR="003875F4" w:rsidRPr="003875F4">
        <w:rPr>
          <w:rFonts w:asciiTheme="majorHAnsi" w:hAnsiTheme="majorHAnsi" w:cstheme="majorHAnsi"/>
          <w:color w:val="auto"/>
          <w:spacing w:val="-4"/>
          <w:sz w:val="22"/>
          <w:szCs w:val="22"/>
        </w:rPr>
        <w:t>in the consolidated statement of comprehensive income and in the separate statement of comprehensive income</w:t>
      </w:r>
      <w:r w:rsidR="003875F4">
        <w:rPr>
          <w:rFonts w:asciiTheme="majorHAnsi" w:hAnsiTheme="majorHAnsi" w:cstheme="majorHAnsi"/>
          <w:color w:val="auto"/>
          <w:spacing w:val="-4"/>
          <w:sz w:val="22"/>
          <w:szCs w:val="22"/>
        </w:rPr>
        <w:t xml:space="preserve"> </w:t>
      </w:r>
      <w:r w:rsidR="00C30D0F">
        <w:rPr>
          <w:rFonts w:asciiTheme="majorHAnsi" w:hAnsiTheme="majorHAnsi" w:cstheme="majorHAnsi"/>
          <w:color w:val="auto"/>
          <w:spacing w:val="-4"/>
          <w:sz w:val="22"/>
          <w:szCs w:val="22"/>
        </w:rPr>
        <w:t xml:space="preserve">for the </w:t>
      </w:r>
      <w:r w:rsidR="00385515" w:rsidRPr="00385515">
        <w:rPr>
          <w:rFonts w:asciiTheme="majorHAnsi" w:hAnsiTheme="majorHAnsi" w:cstheme="majorHAnsi"/>
          <w:color w:val="auto"/>
          <w:spacing w:val="-4"/>
          <w:sz w:val="22"/>
          <w:szCs w:val="22"/>
        </w:rPr>
        <w:t>three-month</w:t>
      </w:r>
      <w:r w:rsidR="00385515">
        <w:rPr>
          <w:rFonts w:asciiTheme="majorHAnsi" w:hAnsiTheme="majorHAnsi" w:cstheme="majorHAnsi"/>
          <w:color w:val="auto"/>
          <w:spacing w:val="-4"/>
          <w:sz w:val="22"/>
          <w:szCs w:val="22"/>
        </w:rPr>
        <w:t xml:space="preserve"> </w:t>
      </w:r>
      <w:r w:rsidR="00C30D0F">
        <w:rPr>
          <w:rFonts w:asciiTheme="majorHAnsi" w:hAnsiTheme="majorHAnsi" w:cstheme="majorHAnsi"/>
          <w:color w:val="auto"/>
          <w:spacing w:val="-4"/>
          <w:sz w:val="22"/>
          <w:szCs w:val="22"/>
        </w:rPr>
        <w:t xml:space="preserve">period ended </w:t>
      </w:r>
      <w:r w:rsidR="00EE5A90">
        <w:rPr>
          <w:rFonts w:asciiTheme="majorHAnsi" w:hAnsiTheme="majorHAnsi" w:cstheme="majorHAnsi"/>
          <w:color w:val="auto"/>
          <w:spacing w:val="-4"/>
          <w:sz w:val="22"/>
          <w:szCs w:val="22"/>
        </w:rPr>
        <w:t>31 March 2025</w:t>
      </w:r>
      <w:r w:rsidR="002231EB">
        <w:rPr>
          <w:rFonts w:asciiTheme="majorHAnsi" w:hAnsiTheme="majorHAnsi" w:cstheme="majorHAnsi"/>
          <w:color w:val="auto"/>
          <w:spacing w:val="-4"/>
          <w:sz w:val="22"/>
          <w:szCs w:val="22"/>
        </w:rPr>
        <w:t xml:space="preserve"> of </w:t>
      </w:r>
      <w:r w:rsidR="00153ACD">
        <w:rPr>
          <w:rFonts w:asciiTheme="majorHAnsi" w:hAnsiTheme="majorHAnsi" w:cstheme="majorHAnsi"/>
          <w:color w:val="auto"/>
          <w:spacing w:val="-4"/>
          <w:sz w:val="22"/>
          <w:szCs w:val="22"/>
        </w:rPr>
        <w:t xml:space="preserve">Baht </w:t>
      </w:r>
      <w:r w:rsidR="00575565" w:rsidRPr="00575565">
        <w:rPr>
          <w:rFonts w:asciiTheme="majorHAnsi" w:hAnsiTheme="majorHAnsi" w:cstheme="majorHAnsi"/>
          <w:color w:val="auto"/>
          <w:spacing w:val="-4"/>
          <w:sz w:val="22"/>
          <w:szCs w:val="22"/>
        </w:rPr>
        <w:t>201.1</w:t>
      </w:r>
      <w:r w:rsidR="002B6FB7">
        <w:rPr>
          <w:rFonts w:asciiTheme="majorHAnsi" w:hAnsiTheme="majorHAnsi" w:cstheme="majorHAnsi"/>
          <w:color w:val="auto"/>
          <w:spacing w:val="-4"/>
          <w:sz w:val="22"/>
          <w:szCs w:val="22"/>
        </w:rPr>
        <w:t>8</w:t>
      </w:r>
      <w:r w:rsidR="00575565" w:rsidRPr="00575565">
        <w:rPr>
          <w:rFonts w:asciiTheme="majorHAnsi" w:hAnsiTheme="majorHAnsi" w:cstheme="majorHAnsi"/>
          <w:color w:val="auto"/>
          <w:spacing w:val="-4"/>
          <w:sz w:val="22"/>
          <w:szCs w:val="22"/>
        </w:rPr>
        <w:t xml:space="preserve"> </w:t>
      </w:r>
      <w:r w:rsidR="00F76CCE">
        <w:rPr>
          <w:rFonts w:asciiTheme="majorHAnsi" w:hAnsiTheme="majorHAnsi" w:cstheme="majorHAnsi"/>
          <w:color w:val="auto"/>
          <w:spacing w:val="-4"/>
          <w:sz w:val="22"/>
          <w:szCs w:val="22"/>
        </w:rPr>
        <w:t>million</w:t>
      </w:r>
      <w:r w:rsidR="0075746A">
        <w:rPr>
          <w:rFonts w:asciiTheme="majorHAnsi" w:hAnsiTheme="majorHAnsi" w:cstheme="majorHAnsi"/>
          <w:color w:val="auto"/>
          <w:spacing w:val="-4"/>
          <w:sz w:val="22"/>
          <w:szCs w:val="22"/>
        </w:rPr>
        <w:t xml:space="preserve"> </w:t>
      </w:r>
      <w:r w:rsidR="0075746A" w:rsidRPr="00817B74">
        <w:rPr>
          <w:rFonts w:asciiTheme="majorHAnsi" w:eastAsia="Cordia New" w:hAnsiTheme="majorHAnsi" w:cstheme="majorHAnsi"/>
          <w:color w:val="auto"/>
          <w:sz w:val="22"/>
          <w:szCs w:val="22"/>
          <w:lang w:eastAsia="zh-CN"/>
        </w:rPr>
        <w:t>(restated)</w:t>
      </w:r>
      <w:r w:rsidR="0075746A">
        <w:rPr>
          <w:rFonts w:asciiTheme="majorHAnsi" w:eastAsia="Cordia New" w:hAnsiTheme="majorHAnsi" w:cstheme="majorHAnsi"/>
          <w:color w:val="auto"/>
          <w:sz w:val="22"/>
          <w:szCs w:val="22"/>
          <w:lang w:eastAsia="zh-CN"/>
        </w:rPr>
        <w:t xml:space="preserve"> </w:t>
      </w:r>
      <w:r w:rsidR="0031144E">
        <w:rPr>
          <w:rFonts w:asciiTheme="majorHAnsi" w:hAnsiTheme="majorHAnsi" w:cstheme="majorHAnsi"/>
          <w:color w:val="auto"/>
          <w:spacing w:val="-4"/>
          <w:sz w:val="22"/>
          <w:szCs w:val="22"/>
        </w:rPr>
        <w:t xml:space="preserve">and Baht </w:t>
      </w:r>
      <w:r w:rsidR="0075746A">
        <w:rPr>
          <w:rFonts w:asciiTheme="majorHAnsi" w:hAnsiTheme="majorHAnsi" w:cstheme="majorHAnsi"/>
          <w:color w:val="auto"/>
          <w:spacing w:val="-4"/>
          <w:sz w:val="22"/>
          <w:szCs w:val="22"/>
        </w:rPr>
        <w:t>22.9</w:t>
      </w:r>
      <w:r w:rsidR="00964345">
        <w:rPr>
          <w:rFonts w:asciiTheme="majorHAnsi" w:hAnsiTheme="majorHAnsi" w:cstheme="majorHAnsi"/>
          <w:color w:val="auto"/>
          <w:spacing w:val="-4"/>
          <w:sz w:val="22"/>
          <w:szCs w:val="22"/>
        </w:rPr>
        <w:t>1</w:t>
      </w:r>
      <w:r w:rsidR="0031144E">
        <w:rPr>
          <w:rFonts w:asciiTheme="majorHAnsi" w:hAnsiTheme="majorHAnsi" w:cstheme="majorHAnsi"/>
          <w:color w:val="auto"/>
          <w:spacing w:val="-4"/>
          <w:sz w:val="22"/>
          <w:szCs w:val="22"/>
        </w:rPr>
        <w:t xml:space="preserve"> million</w:t>
      </w:r>
      <w:r w:rsidR="0075746A">
        <w:rPr>
          <w:rFonts w:asciiTheme="majorHAnsi" w:hAnsiTheme="majorHAnsi" w:cstheme="majorHAnsi"/>
          <w:color w:val="auto"/>
          <w:spacing w:val="-4"/>
          <w:sz w:val="22"/>
          <w:szCs w:val="22"/>
        </w:rPr>
        <w:t xml:space="preserve"> </w:t>
      </w:r>
      <w:r w:rsidR="0075746A" w:rsidRPr="00817B74">
        <w:rPr>
          <w:rFonts w:asciiTheme="majorHAnsi" w:eastAsia="Cordia New" w:hAnsiTheme="majorHAnsi" w:cstheme="majorHAnsi"/>
          <w:color w:val="auto"/>
          <w:sz w:val="22"/>
          <w:szCs w:val="22"/>
          <w:lang w:eastAsia="zh-CN"/>
        </w:rPr>
        <w:t>(restated)</w:t>
      </w:r>
      <w:r w:rsidR="00F76CCE">
        <w:rPr>
          <w:rFonts w:asciiTheme="majorHAnsi" w:hAnsiTheme="majorHAnsi" w:cstheme="majorHAnsi"/>
          <w:color w:val="auto"/>
          <w:spacing w:val="-4"/>
          <w:sz w:val="22"/>
          <w:szCs w:val="22"/>
        </w:rPr>
        <w:t xml:space="preserve"> respectively</w:t>
      </w:r>
      <w:r w:rsidR="00482CD2">
        <w:rPr>
          <w:rFonts w:asciiTheme="majorHAnsi" w:hAnsiTheme="majorHAnsi" w:cstheme="majorHAnsi"/>
          <w:color w:val="auto"/>
          <w:spacing w:val="-4"/>
          <w:sz w:val="22"/>
          <w:szCs w:val="22"/>
        </w:rPr>
        <w:t>,</w:t>
      </w:r>
      <w:r w:rsidR="00F76CCE">
        <w:rPr>
          <w:rFonts w:asciiTheme="majorHAnsi" w:hAnsiTheme="majorHAnsi" w:cstheme="majorHAnsi"/>
          <w:color w:val="auto"/>
          <w:spacing w:val="-4"/>
          <w:sz w:val="22"/>
          <w:szCs w:val="22"/>
        </w:rPr>
        <w:t xml:space="preserve"> </w:t>
      </w:r>
      <w:r w:rsidR="0038314B">
        <w:rPr>
          <w:rFonts w:asciiTheme="majorHAnsi" w:hAnsiTheme="majorHAnsi" w:cstheme="majorHAnsi"/>
          <w:color w:val="auto"/>
          <w:spacing w:val="-4"/>
          <w:sz w:val="22"/>
          <w:szCs w:val="22"/>
        </w:rPr>
        <w:t>A</w:t>
      </w:r>
      <w:r w:rsidR="004B4F2D" w:rsidRPr="004B4F2D">
        <w:rPr>
          <w:rFonts w:asciiTheme="majorHAnsi" w:hAnsiTheme="majorHAnsi" w:cstheme="majorHAnsi"/>
          <w:color w:val="auto"/>
          <w:spacing w:val="-4"/>
          <w:sz w:val="22"/>
          <w:szCs w:val="22"/>
        </w:rPr>
        <w:t xml:space="preserve">s at 31 </w:t>
      </w:r>
      <w:r w:rsidR="000D469A">
        <w:rPr>
          <w:rFonts w:asciiTheme="majorHAnsi" w:hAnsiTheme="majorHAnsi" w:cstheme="majorHAnsi"/>
          <w:color w:val="auto"/>
          <w:spacing w:val="-4"/>
          <w:sz w:val="22"/>
          <w:szCs w:val="22"/>
        </w:rPr>
        <w:t xml:space="preserve">March </w:t>
      </w:r>
      <w:r w:rsidR="004B4F2D" w:rsidRPr="004B4F2D">
        <w:rPr>
          <w:rFonts w:asciiTheme="majorHAnsi" w:hAnsiTheme="majorHAnsi" w:cstheme="majorHAnsi"/>
          <w:color w:val="auto"/>
          <w:spacing w:val="-4"/>
          <w:sz w:val="22"/>
          <w:szCs w:val="22"/>
        </w:rPr>
        <w:t>202</w:t>
      </w:r>
      <w:r w:rsidR="000D469A">
        <w:rPr>
          <w:rFonts w:asciiTheme="majorHAnsi" w:hAnsiTheme="majorHAnsi" w:cstheme="majorHAnsi"/>
          <w:color w:val="auto"/>
          <w:spacing w:val="-4"/>
          <w:sz w:val="22"/>
          <w:szCs w:val="22"/>
        </w:rPr>
        <w:t>5</w:t>
      </w:r>
      <w:r w:rsidR="004B4F2D" w:rsidRPr="004B4F2D">
        <w:rPr>
          <w:rFonts w:asciiTheme="majorHAnsi" w:hAnsiTheme="majorHAnsi" w:cstheme="majorHAnsi"/>
          <w:color w:val="auto"/>
          <w:spacing w:val="-4"/>
          <w:sz w:val="22"/>
          <w:szCs w:val="22"/>
        </w:rPr>
        <w:t xml:space="preserve">, the Group’s current liabilities exceeded its current assets </w:t>
      </w:r>
      <w:r w:rsidR="004B4F2D" w:rsidRPr="00A301B5">
        <w:rPr>
          <w:rFonts w:asciiTheme="majorHAnsi" w:hAnsiTheme="majorHAnsi" w:cstheme="majorHAnsi"/>
          <w:color w:val="auto"/>
          <w:spacing w:val="-4"/>
          <w:sz w:val="22"/>
          <w:szCs w:val="22"/>
        </w:rPr>
        <w:t xml:space="preserve">by Baht </w:t>
      </w:r>
      <w:r w:rsidR="005A7A3A" w:rsidRPr="005A7A3A">
        <w:rPr>
          <w:rFonts w:asciiTheme="majorHAnsi" w:hAnsiTheme="majorHAnsi" w:cstheme="majorHAnsi"/>
          <w:color w:val="auto"/>
          <w:spacing w:val="-4"/>
          <w:sz w:val="22"/>
          <w:szCs w:val="22"/>
        </w:rPr>
        <w:t>1,084.6</w:t>
      </w:r>
      <w:r w:rsidR="00AE02CF">
        <w:rPr>
          <w:rFonts w:asciiTheme="majorHAnsi" w:hAnsiTheme="majorHAnsi" w:cstheme="majorHAnsi"/>
          <w:color w:val="auto"/>
          <w:spacing w:val="-4"/>
          <w:sz w:val="22"/>
          <w:szCs w:val="22"/>
        </w:rPr>
        <w:t>7</w:t>
      </w:r>
      <w:r w:rsidR="005A7A3A">
        <w:rPr>
          <w:rFonts w:asciiTheme="majorHAnsi" w:hAnsiTheme="majorHAnsi" w:cstheme="majorHAnsi"/>
          <w:color w:val="auto"/>
          <w:spacing w:val="-4"/>
          <w:sz w:val="22"/>
          <w:szCs w:val="22"/>
        </w:rPr>
        <w:t xml:space="preserve"> </w:t>
      </w:r>
      <w:r w:rsidR="004B4F2D" w:rsidRPr="00A301B5">
        <w:rPr>
          <w:rFonts w:asciiTheme="majorHAnsi" w:hAnsiTheme="majorHAnsi" w:cstheme="majorHAnsi"/>
          <w:color w:val="auto"/>
          <w:spacing w:val="-4"/>
          <w:sz w:val="22"/>
          <w:szCs w:val="22"/>
        </w:rPr>
        <w:t>million</w:t>
      </w:r>
      <w:r w:rsidR="00855291">
        <w:rPr>
          <w:rFonts w:asciiTheme="majorHAnsi" w:hAnsiTheme="majorHAnsi" w:cstheme="majorHAnsi"/>
          <w:color w:val="auto"/>
          <w:spacing w:val="-4"/>
          <w:sz w:val="22"/>
          <w:szCs w:val="22"/>
        </w:rPr>
        <w:t xml:space="preserve"> </w:t>
      </w:r>
      <w:r w:rsidR="00855291" w:rsidRPr="00817B74">
        <w:rPr>
          <w:rFonts w:asciiTheme="majorHAnsi" w:eastAsia="Cordia New" w:hAnsiTheme="majorHAnsi" w:cstheme="majorHAnsi"/>
          <w:color w:val="auto"/>
          <w:sz w:val="22"/>
          <w:szCs w:val="22"/>
          <w:lang w:eastAsia="zh-CN"/>
        </w:rPr>
        <w:t>(restated)</w:t>
      </w:r>
      <w:r w:rsidR="004B4F2D" w:rsidRPr="00A301B5">
        <w:rPr>
          <w:rFonts w:asciiTheme="majorHAnsi" w:hAnsiTheme="majorHAnsi" w:cstheme="majorHAnsi"/>
          <w:color w:val="auto"/>
          <w:spacing w:val="-4"/>
          <w:sz w:val="22"/>
          <w:szCs w:val="22"/>
        </w:rPr>
        <w:t xml:space="preserve"> (</w:t>
      </w:r>
      <w:r w:rsidR="003947E5">
        <w:rPr>
          <w:rFonts w:asciiTheme="majorHAnsi" w:hAnsiTheme="majorHAnsi" w:cstheme="majorHAnsi"/>
          <w:color w:val="auto"/>
          <w:spacing w:val="-4"/>
          <w:sz w:val="22"/>
          <w:szCs w:val="22"/>
        </w:rPr>
        <w:t xml:space="preserve">Separate financial statement </w:t>
      </w:r>
      <w:r w:rsidR="004B4F2D" w:rsidRPr="00A301B5">
        <w:rPr>
          <w:rFonts w:asciiTheme="majorHAnsi" w:hAnsiTheme="majorHAnsi" w:cstheme="majorHAnsi"/>
          <w:color w:val="auto"/>
          <w:spacing w:val="-4"/>
          <w:sz w:val="22"/>
          <w:szCs w:val="22"/>
        </w:rPr>
        <w:t xml:space="preserve">: Baht </w:t>
      </w:r>
      <w:r w:rsidR="008F7FBA">
        <w:rPr>
          <w:rFonts w:asciiTheme="majorHAnsi" w:hAnsiTheme="majorHAnsi" w:cstheme="majorHAnsi"/>
          <w:color w:val="auto"/>
          <w:spacing w:val="-4"/>
          <w:sz w:val="22"/>
          <w:szCs w:val="22"/>
        </w:rPr>
        <w:t>737.</w:t>
      </w:r>
      <w:r w:rsidR="005A7A3A">
        <w:rPr>
          <w:rFonts w:asciiTheme="majorHAnsi" w:hAnsiTheme="majorHAnsi" w:cs="Browallia New"/>
          <w:color w:val="auto"/>
          <w:spacing w:val="-4"/>
          <w:sz w:val="22"/>
          <w:szCs w:val="28"/>
          <w:lang w:bidi="th-TH"/>
        </w:rPr>
        <w:t>58</w:t>
      </w:r>
      <w:r w:rsidR="004B4F2D" w:rsidRPr="00A301B5">
        <w:rPr>
          <w:rFonts w:asciiTheme="majorHAnsi" w:hAnsiTheme="majorHAnsi" w:cstheme="majorHAnsi"/>
          <w:color w:val="auto"/>
          <w:spacing w:val="-4"/>
          <w:sz w:val="22"/>
          <w:szCs w:val="22"/>
        </w:rPr>
        <w:t xml:space="preserve"> million</w:t>
      </w:r>
      <w:r w:rsidR="00855291">
        <w:rPr>
          <w:rFonts w:asciiTheme="majorHAnsi" w:hAnsiTheme="majorHAnsi" w:cstheme="majorHAnsi"/>
          <w:color w:val="auto"/>
          <w:spacing w:val="-4"/>
          <w:sz w:val="22"/>
          <w:szCs w:val="22"/>
        </w:rPr>
        <w:t xml:space="preserve"> </w:t>
      </w:r>
      <w:r w:rsidR="00855291" w:rsidRPr="00817B74">
        <w:rPr>
          <w:rFonts w:asciiTheme="majorHAnsi" w:eastAsia="Cordia New" w:hAnsiTheme="majorHAnsi" w:cstheme="majorHAnsi"/>
          <w:color w:val="auto"/>
          <w:sz w:val="22"/>
          <w:szCs w:val="22"/>
          <w:lang w:eastAsia="zh-CN"/>
        </w:rPr>
        <w:t>(restated)</w:t>
      </w:r>
      <w:r w:rsidR="004B4F2D" w:rsidRPr="00A301B5">
        <w:rPr>
          <w:rFonts w:asciiTheme="majorHAnsi" w:hAnsiTheme="majorHAnsi" w:cstheme="majorHAnsi"/>
          <w:color w:val="auto"/>
          <w:spacing w:val="-4"/>
          <w:sz w:val="22"/>
          <w:szCs w:val="22"/>
        </w:rPr>
        <w:t>)</w:t>
      </w:r>
      <w:r w:rsidR="004B4F2D" w:rsidRPr="00A048A4">
        <w:rPr>
          <w:rFonts w:asciiTheme="majorHAnsi" w:hAnsiTheme="majorHAnsi" w:cstheme="majorHAnsi"/>
          <w:color w:val="auto"/>
          <w:spacing w:val="-4"/>
          <w:sz w:val="22"/>
          <w:szCs w:val="22"/>
        </w:rPr>
        <w:t>,</w:t>
      </w:r>
      <w:r w:rsidR="004B4F2D" w:rsidRPr="004B4F2D">
        <w:rPr>
          <w:rFonts w:asciiTheme="majorHAnsi" w:hAnsiTheme="majorHAnsi" w:cstheme="majorHAnsi"/>
          <w:color w:val="auto"/>
          <w:spacing w:val="-4"/>
          <w:sz w:val="22"/>
          <w:szCs w:val="22"/>
        </w:rPr>
        <w:t xml:space="preserve"> mainly consisting of trade and other payables, bank overdrafts and short-term loans, current portion of long-term loans from banks, and current portion of debentures. Currently, the management has plans to implement various measures to increase liquidity and cash flow for the Group</w:t>
      </w:r>
      <w:r w:rsidR="00197BE8">
        <w:rPr>
          <w:rFonts w:asciiTheme="majorHAnsi" w:hAnsiTheme="majorHAnsi" w:cstheme="majorHAnsi"/>
          <w:color w:val="auto"/>
          <w:spacing w:val="-4"/>
          <w:sz w:val="22"/>
          <w:szCs w:val="22"/>
        </w:rPr>
        <w:t xml:space="preserve"> and Company</w:t>
      </w:r>
      <w:r w:rsidR="004B4F2D" w:rsidRPr="004B4F2D">
        <w:rPr>
          <w:rFonts w:asciiTheme="majorHAnsi" w:hAnsiTheme="majorHAnsi" w:cstheme="majorHAnsi"/>
          <w:color w:val="auto"/>
          <w:spacing w:val="-4"/>
          <w:sz w:val="22"/>
          <w:szCs w:val="22"/>
        </w:rPr>
        <w:t>, including requesting debt repayment deferrals from creditors, seeking approval to postpone debenture repayments, and obtaining additional long-term loan facilities from financial institutions.</w:t>
      </w:r>
      <w:r w:rsidR="001861ED">
        <w:rPr>
          <w:rFonts w:asciiTheme="majorHAnsi" w:hAnsiTheme="majorHAnsi" w:cstheme="majorHAnsi"/>
          <w:color w:val="auto"/>
          <w:spacing w:val="-4"/>
          <w:sz w:val="22"/>
          <w:szCs w:val="22"/>
        </w:rPr>
        <w:t xml:space="preserve"> </w:t>
      </w:r>
      <w:r w:rsidR="004B4F2D" w:rsidRPr="004B4F2D">
        <w:rPr>
          <w:rFonts w:asciiTheme="majorHAnsi" w:hAnsiTheme="majorHAnsi" w:cstheme="majorHAnsi"/>
          <w:color w:val="auto"/>
          <w:spacing w:val="-4"/>
          <w:sz w:val="22"/>
          <w:szCs w:val="22"/>
        </w:rPr>
        <w:t>On 18 February 2025, the Company held the debenture holders' meeting No. 1/2025 to seek approval to postpone the repayment of Baht 1,300 million of debentures for another 2 years, with the new maturity date being 20 April 2027, and to increase the interest rate from 6.75% per annum to 7.</w:t>
      </w:r>
      <w:r w:rsidR="00A31192">
        <w:rPr>
          <w:rFonts w:asciiTheme="majorHAnsi" w:hAnsiTheme="majorHAnsi" w:cstheme="majorHAnsi"/>
          <w:color w:val="auto"/>
          <w:spacing w:val="-4"/>
          <w:sz w:val="22"/>
          <w:szCs w:val="22"/>
        </w:rPr>
        <w:t>00</w:t>
      </w:r>
      <w:r w:rsidR="004B4F2D" w:rsidRPr="004B4F2D">
        <w:rPr>
          <w:rFonts w:asciiTheme="majorHAnsi" w:hAnsiTheme="majorHAnsi" w:cstheme="majorHAnsi"/>
          <w:color w:val="auto"/>
          <w:spacing w:val="-4"/>
          <w:sz w:val="22"/>
          <w:szCs w:val="22"/>
        </w:rPr>
        <w:t>% per annum. However, the debenture holders' meeting No. 1/2025 did not approve the amendment to change the debenture redemption date. Later, on 28 February 2025, the Company held the debenture holders' meeting No. 2/2025, increasing the interest rate from 7.00% per annum to 7.25% per annum and changing the terms and amounts of principal repayment, with payments in installment every 6 months. The debenture holders' meeting</w:t>
      </w:r>
      <w:r w:rsidR="004B4F2D">
        <w:rPr>
          <w:rFonts w:asciiTheme="majorHAnsi" w:hAnsiTheme="majorHAnsi" w:cstheme="majorHAnsi"/>
          <w:color w:val="auto"/>
          <w:spacing w:val="-4"/>
          <w:sz w:val="22"/>
          <w:szCs w:val="22"/>
        </w:rPr>
        <w:t xml:space="preserve"> </w:t>
      </w:r>
      <w:r w:rsidR="004B4F2D" w:rsidRPr="004B4F2D">
        <w:rPr>
          <w:rFonts w:asciiTheme="majorHAnsi" w:hAnsiTheme="majorHAnsi" w:cstheme="majorHAnsi"/>
          <w:color w:val="auto"/>
          <w:spacing w:val="-4"/>
          <w:sz w:val="22"/>
          <w:szCs w:val="22"/>
        </w:rPr>
        <w:t xml:space="preserve">No. 2/2025 approved the postponement of the debenture repayment according to the schedule mentioned in Note </w:t>
      </w:r>
      <w:r w:rsidR="008C0CF3">
        <w:rPr>
          <w:rFonts w:asciiTheme="majorHAnsi" w:hAnsiTheme="majorHAnsi" w:cs="Leelawadee UI"/>
          <w:color w:val="auto"/>
          <w:spacing w:val="-4"/>
          <w:sz w:val="22"/>
          <w:szCs w:val="28"/>
          <w:lang w:bidi="th-TH"/>
        </w:rPr>
        <w:t>15</w:t>
      </w:r>
      <w:r w:rsidR="00101121">
        <w:rPr>
          <w:rFonts w:asciiTheme="majorHAnsi" w:hAnsiTheme="majorHAnsi" w:cs="Leelawadee UI"/>
          <w:color w:val="auto"/>
          <w:spacing w:val="-4"/>
          <w:sz w:val="22"/>
          <w:szCs w:val="28"/>
          <w:lang w:bidi="th-TH"/>
        </w:rPr>
        <w:t>.</w:t>
      </w:r>
      <w:r w:rsidR="004B4F2D" w:rsidRPr="004B4F2D">
        <w:rPr>
          <w:rFonts w:asciiTheme="majorHAnsi" w:hAnsiTheme="majorHAnsi" w:cstheme="majorHAnsi"/>
          <w:color w:val="auto"/>
          <w:spacing w:val="-4"/>
          <w:sz w:val="22"/>
          <w:szCs w:val="22"/>
        </w:rPr>
        <w:t xml:space="preserve"> </w:t>
      </w:r>
      <w:r w:rsidR="003F733A">
        <w:rPr>
          <w:rFonts w:asciiTheme="majorHAnsi" w:hAnsiTheme="majorHAnsi" w:cstheme="majorHAnsi"/>
          <w:color w:val="auto"/>
          <w:spacing w:val="-4"/>
          <w:sz w:val="22"/>
          <w:szCs w:val="22"/>
        </w:rPr>
        <w:t>Subsequently</w:t>
      </w:r>
      <w:r w:rsidR="00AD05FF">
        <w:rPr>
          <w:rFonts w:asciiTheme="majorHAnsi" w:hAnsiTheme="majorHAnsi" w:cstheme="majorHAnsi"/>
          <w:color w:val="auto"/>
          <w:spacing w:val="-4"/>
          <w:sz w:val="22"/>
          <w:szCs w:val="22"/>
        </w:rPr>
        <w:t xml:space="preserve">, the Company </w:t>
      </w:r>
      <w:r w:rsidR="00A02BAD" w:rsidRPr="00A02BAD">
        <w:rPr>
          <w:rFonts w:asciiTheme="majorHAnsi" w:hAnsiTheme="majorHAnsi" w:cstheme="majorHAnsi"/>
          <w:color w:val="auto"/>
          <w:spacing w:val="-4"/>
          <w:sz w:val="22"/>
          <w:szCs w:val="22"/>
        </w:rPr>
        <w:t>default</w:t>
      </w:r>
      <w:r w:rsidR="008B57D5">
        <w:rPr>
          <w:rFonts w:asciiTheme="majorHAnsi" w:hAnsiTheme="majorHAnsi" w:cstheme="majorHAnsi"/>
          <w:color w:val="auto"/>
          <w:spacing w:val="-4"/>
          <w:sz w:val="22"/>
          <w:szCs w:val="22"/>
        </w:rPr>
        <w:t>ed</w:t>
      </w:r>
      <w:r w:rsidR="00A02BAD" w:rsidRPr="00A02BAD">
        <w:rPr>
          <w:rFonts w:asciiTheme="majorHAnsi" w:hAnsiTheme="majorHAnsi" w:cstheme="majorHAnsi"/>
          <w:color w:val="auto"/>
          <w:spacing w:val="-4"/>
          <w:sz w:val="22"/>
          <w:szCs w:val="22"/>
        </w:rPr>
        <w:t xml:space="preserve"> on</w:t>
      </w:r>
      <w:r w:rsidR="000744B6">
        <w:rPr>
          <w:rFonts w:asciiTheme="majorHAnsi" w:hAnsiTheme="majorHAnsi" w:cstheme="majorHAnsi"/>
          <w:color w:val="auto"/>
          <w:spacing w:val="-4"/>
          <w:sz w:val="22"/>
          <w:szCs w:val="22"/>
        </w:rPr>
        <w:t xml:space="preserve"> </w:t>
      </w:r>
      <w:r w:rsidR="00A5256A">
        <w:rPr>
          <w:rFonts w:asciiTheme="majorHAnsi" w:hAnsiTheme="majorHAnsi" w:cstheme="majorHAnsi"/>
          <w:color w:val="auto"/>
          <w:spacing w:val="-4"/>
          <w:sz w:val="22"/>
          <w:szCs w:val="22"/>
        </w:rPr>
        <w:t xml:space="preserve">repayment </w:t>
      </w:r>
      <w:r w:rsidR="000744B6">
        <w:rPr>
          <w:rFonts w:asciiTheme="majorHAnsi" w:hAnsiTheme="majorHAnsi" w:cstheme="majorHAnsi"/>
          <w:color w:val="auto"/>
          <w:spacing w:val="-4"/>
          <w:sz w:val="22"/>
          <w:szCs w:val="22"/>
        </w:rPr>
        <w:t xml:space="preserve">due </w:t>
      </w:r>
      <w:r w:rsidR="000744B6" w:rsidRPr="00154F44">
        <w:rPr>
          <w:rFonts w:asciiTheme="majorHAnsi" w:hAnsiTheme="majorHAnsi" w:cstheme="majorHAnsi"/>
          <w:color w:val="auto"/>
          <w:spacing w:val="-4"/>
          <w:sz w:val="22"/>
          <w:szCs w:val="22"/>
        </w:rPr>
        <w:t xml:space="preserve">to the </w:t>
      </w:r>
      <w:r w:rsidR="000744B6">
        <w:rPr>
          <w:rFonts w:asciiTheme="majorHAnsi" w:hAnsiTheme="majorHAnsi" w:cstheme="majorHAnsi"/>
          <w:color w:val="auto"/>
          <w:spacing w:val="-4"/>
          <w:sz w:val="22"/>
          <w:szCs w:val="22"/>
        </w:rPr>
        <w:t xml:space="preserve">debenture </w:t>
      </w:r>
      <w:r w:rsidR="000744B6" w:rsidRPr="00154F44">
        <w:rPr>
          <w:rFonts w:asciiTheme="majorHAnsi" w:hAnsiTheme="majorHAnsi" w:cstheme="majorHAnsi"/>
          <w:color w:val="auto"/>
          <w:spacing w:val="-4"/>
          <w:sz w:val="22"/>
          <w:szCs w:val="22"/>
        </w:rPr>
        <w:t>holders</w:t>
      </w:r>
      <w:r w:rsidR="000744B6">
        <w:rPr>
          <w:rFonts w:asciiTheme="majorHAnsi" w:hAnsiTheme="majorHAnsi" w:cstheme="majorHAnsi"/>
          <w:color w:val="auto"/>
          <w:spacing w:val="-4"/>
          <w:sz w:val="22"/>
          <w:szCs w:val="22"/>
        </w:rPr>
        <w:t xml:space="preserve"> on</w:t>
      </w:r>
      <w:r w:rsidR="000744B6" w:rsidRPr="00154F44">
        <w:rPr>
          <w:rFonts w:asciiTheme="majorHAnsi" w:hAnsiTheme="majorHAnsi" w:cstheme="majorHAnsi"/>
          <w:color w:val="auto"/>
          <w:spacing w:val="-4"/>
          <w:sz w:val="22"/>
          <w:szCs w:val="22"/>
        </w:rPr>
        <w:t xml:space="preserve"> </w:t>
      </w:r>
      <w:r w:rsidR="000744B6">
        <w:rPr>
          <w:rFonts w:asciiTheme="majorHAnsi" w:hAnsiTheme="majorHAnsi" w:cstheme="majorHAnsi"/>
          <w:color w:val="auto"/>
          <w:spacing w:val="-4"/>
          <w:sz w:val="22"/>
          <w:szCs w:val="22"/>
        </w:rPr>
        <w:t xml:space="preserve">30 </w:t>
      </w:r>
      <w:r w:rsidR="000744B6" w:rsidRPr="00154F44">
        <w:rPr>
          <w:rFonts w:asciiTheme="majorHAnsi" w:hAnsiTheme="majorHAnsi" w:cstheme="majorHAnsi"/>
          <w:color w:val="auto"/>
          <w:spacing w:val="-4"/>
          <w:sz w:val="22"/>
          <w:szCs w:val="22"/>
        </w:rPr>
        <w:t>April 2025</w:t>
      </w:r>
      <w:r w:rsidR="000744B6">
        <w:rPr>
          <w:rFonts w:asciiTheme="majorHAnsi" w:hAnsiTheme="majorHAnsi" w:cstheme="majorHAnsi"/>
          <w:color w:val="auto"/>
          <w:spacing w:val="-4"/>
          <w:sz w:val="22"/>
          <w:szCs w:val="22"/>
        </w:rPr>
        <w:t xml:space="preserve">, mainly comprising a </w:t>
      </w:r>
      <w:r w:rsidR="00547E22" w:rsidRPr="00154F44">
        <w:rPr>
          <w:rFonts w:asciiTheme="majorHAnsi" w:hAnsiTheme="majorHAnsi" w:cstheme="majorHAnsi"/>
          <w:color w:val="auto"/>
          <w:spacing w:val="-4"/>
          <w:sz w:val="22"/>
          <w:szCs w:val="22"/>
        </w:rPr>
        <w:t xml:space="preserve">principal </w:t>
      </w:r>
      <w:r w:rsidR="000744B6" w:rsidRPr="00154F44">
        <w:rPr>
          <w:rFonts w:asciiTheme="majorHAnsi" w:hAnsiTheme="majorHAnsi" w:cstheme="majorHAnsi"/>
          <w:color w:val="auto"/>
          <w:spacing w:val="-4"/>
          <w:sz w:val="22"/>
          <w:szCs w:val="22"/>
        </w:rPr>
        <w:t>amount</w:t>
      </w:r>
      <w:r w:rsidR="000744B6">
        <w:rPr>
          <w:rFonts w:asciiTheme="majorHAnsi" w:hAnsiTheme="majorHAnsi" w:cstheme="majorHAnsi"/>
          <w:color w:val="auto"/>
          <w:spacing w:val="-4"/>
          <w:sz w:val="22"/>
          <w:szCs w:val="22"/>
        </w:rPr>
        <w:t xml:space="preserve"> of</w:t>
      </w:r>
      <w:r w:rsidR="00547E22">
        <w:rPr>
          <w:rFonts w:asciiTheme="majorHAnsi" w:hAnsiTheme="majorHAnsi" w:cstheme="majorHAnsi"/>
          <w:color w:val="auto"/>
          <w:spacing w:val="-4"/>
          <w:sz w:val="22"/>
          <w:szCs w:val="22"/>
        </w:rPr>
        <w:t xml:space="preserve"> </w:t>
      </w:r>
      <w:r w:rsidR="00D86269">
        <w:rPr>
          <w:rFonts w:asciiTheme="majorHAnsi" w:hAnsiTheme="majorHAnsi" w:cstheme="majorHAnsi"/>
          <w:color w:val="auto"/>
          <w:spacing w:val="-4"/>
          <w:sz w:val="22"/>
          <w:szCs w:val="22"/>
        </w:rPr>
        <w:t>Baht</w:t>
      </w:r>
      <w:r w:rsidR="00154F44" w:rsidRPr="00154F44">
        <w:rPr>
          <w:rFonts w:asciiTheme="majorHAnsi" w:hAnsiTheme="majorHAnsi" w:cstheme="majorHAnsi"/>
          <w:color w:val="auto"/>
          <w:spacing w:val="-4"/>
          <w:sz w:val="22"/>
          <w:szCs w:val="22"/>
        </w:rPr>
        <w:t xml:space="preserve"> 195 million. The Company held a Board of Directors meeting No. 8/2025 on</w:t>
      </w:r>
      <w:r w:rsidR="00D70E8A">
        <w:rPr>
          <w:rFonts w:asciiTheme="majorHAnsi" w:hAnsiTheme="majorHAnsi" w:cstheme="majorHAnsi"/>
          <w:color w:val="auto"/>
          <w:spacing w:val="-4"/>
          <w:sz w:val="22"/>
          <w:szCs w:val="22"/>
        </w:rPr>
        <w:t xml:space="preserve"> 30</w:t>
      </w:r>
      <w:r w:rsidR="00154F44" w:rsidRPr="00154F44">
        <w:rPr>
          <w:rFonts w:asciiTheme="majorHAnsi" w:hAnsiTheme="majorHAnsi" w:cstheme="majorHAnsi"/>
          <w:color w:val="auto"/>
          <w:spacing w:val="-4"/>
          <w:sz w:val="22"/>
          <w:szCs w:val="22"/>
        </w:rPr>
        <w:t xml:space="preserve"> April </w:t>
      </w:r>
      <w:r w:rsidR="00D70E8A">
        <w:rPr>
          <w:rFonts w:asciiTheme="majorHAnsi" w:hAnsiTheme="majorHAnsi" w:cstheme="majorHAnsi"/>
          <w:color w:val="auto"/>
          <w:spacing w:val="-4"/>
          <w:sz w:val="22"/>
          <w:szCs w:val="22"/>
        </w:rPr>
        <w:t>2</w:t>
      </w:r>
      <w:r w:rsidR="00154F44" w:rsidRPr="00154F44">
        <w:rPr>
          <w:rFonts w:asciiTheme="majorHAnsi" w:hAnsiTheme="majorHAnsi" w:cstheme="majorHAnsi"/>
          <w:color w:val="auto"/>
          <w:spacing w:val="-4"/>
          <w:sz w:val="22"/>
          <w:szCs w:val="22"/>
        </w:rPr>
        <w:t>025</w:t>
      </w:r>
      <w:r w:rsidR="0081074C" w:rsidRPr="00B44C2A">
        <w:rPr>
          <w:rFonts w:asciiTheme="majorHAnsi" w:hAnsiTheme="majorHAnsi" w:cstheme="majorHAnsi"/>
          <w:color w:val="auto"/>
          <w:spacing w:val="-4"/>
          <w:sz w:val="22"/>
          <w:szCs w:val="22"/>
        </w:rPr>
        <w:t xml:space="preserve">. </w:t>
      </w:r>
      <w:r w:rsidR="00B81ED0" w:rsidRPr="00B44C2A">
        <w:rPr>
          <w:rFonts w:cstheme="minorHAnsi"/>
          <w:color w:val="auto"/>
          <w:sz w:val="22"/>
          <w:szCs w:val="22"/>
          <w:shd w:val="clear" w:color="auto" w:fill="FFFFFF"/>
        </w:rPr>
        <w:t>Subsequently on 13 June 2025, the meeting of debenture holders approved the extension of the maturity period and the amendment of the principal repayment terms resulting to waive the default on repayment of debenture on 30 April 2025. Moreover, refer to note 2</w:t>
      </w:r>
      <w:r w:rsidR="00A07C6E" w:rsidRPr="00B44C2A">
        <w:rPr>
          <w:rFonts w:cstheme="minorHAnsi"/>
          <w:color w:val="auto"/>
          <w:sz w:val="22"/>
          <w:szCs w:val="22"/>
          <w:shd w:val="clear" w:color="auto" w:fill="FFFFFF"/>
        </w:rPr>
        <w:t>1</w:t>
      </w:r>
      <w:r w:rsidR="00633651">
        <w:rPr>
          <w:rFonts w:cstheme="minorHAnsi"/>
          <w:color w:val="auto"/>
          <w:sz w:val="22"/>
          <w:szCs w:val="22"/>
          <w:shd w:val="clear" w:color="auto" w:fill="FFFFFF"/>
        </w:rPr>
        <w:t>,</w:t>
      </w:r>
      <w:r w:rsidR="00B81ED0" w:rsidRPr="00B44C2A">
        <w:rPr>
          <w:rFonts w:cstheme="minorHAnsi"/>
          <w:color w:val="auto"/>
          <w:sz w:val="22"/>
          <w:szCs w:val="22"/>
          <w:shd w:val="clear" w:color="auto" w:fill="FFFFFF"/>
        </w:rPr>
        <w:t xml:space="preserve"> </w:t>
      </w:r>
      <w:r w:rsidR="00633651">
        <w:rPr>
          <w:rFonts w:cstheme="minorHAnsi"/>
          <w:color w:val="auto"/>
          <w:sz w:val="22"/>
          <w:szCs w:val="22"/>
          <w:shd w:val="clear" w:color="auto" w:fill="FFFFFF"/>
        </w:rPr>
        <w:t>t</w:t>
      </w:r>
      <w:r w:rsidR="00D2720B" w:rsidRPr="00D2720B">
        <w:rPr>
          <w:rFonts w:cstheme="minorHAnsi"/>
          <w:color w:val="auto"/>
          <w:sz w:val="22"/>
          <w:szCs w:val="22"/>
          <w:shd w:val="clear" w:color="auto" w:fill="FFFFFF"/>
        </w:rPr>
        <w:t xml:space="preserve">he Company completed </w:t>
      </w:r>
      <w:r w:rsidR="00633651">
        <w:rPr>
          <w:rFonts w:cstheme="minorHAnsi"/>
          <w:color w:val="auto"/>
          <w:sz w:val="22"/>
          <w:szCs w:val="22"/>
          <w:shd w:val="clear" w:color="auto" w:fill="FFFFFF"/>
        </w:rPr>
        <w:t>an issue</w:t>
      </w:r>
      <w:r w:rsidR="00D2720B" w:rsidRPr="00D2720B">
        <w:rPr>
          <w:rFonts w:cstheme="minorHAnsi"/>
          <w:color w:val="auto"/>
          <w:sz w:val="22"/>
          <w:szCs w:val="22"/>
          <w:shd w:val="clear" w:color="auto" w:fill="FFFFFF"/>
        </w:rPr>
        <w:t xml:space="preserve"> of new ordinary shares and received the full payment for the ordinary shares amounting to Baht 86.17 million on 18 September 2025.</w:t>
      </w:r>
    </w:p>
    <w:p w14:paraId="604876AE" w14:textId="77777777" w:rsidR="00AC6E57" w:rsidRPr="004A7661" w:rsidRDefault="00AC6E57" w:rsidP="004B4F2D">
      <w:pPr>
        <w:spacing w:line="240" w:lineRule="auto"/>
        <w:jc w:val="thaiDistribute"/>
        <w:rPr>
          <w:rFonts w:asciiTheme="majorHAnsi" w:hAnsiTheme="majorHAnsi"/>
          <w:color w:val="auto"/>
          <w:spacing w:val="-4"/>
          <w:sz w:val="22"/>
          <w:szCs w:val="28"/>
          <w:cs/>
          <w:lang w:bidi="th-TH"/>
        </w:rPr>
      </w:pPr>
    </w:p>
    <w:p w14:paraId="3B331EFF" w14:textId="2B6D1225" w:rsidR="00CB49B2" w:rsidRDefault="004B4F2D" w:rsidP="00CB49B2">
      <w:pPr>
        <w:spacing w:line="240" w:lineRule="auto"/>
        <w:jc w:val="thaiDistribute"/>
        <w:rPr>
          <w:rFonts w:asciiTheme="majorHAnsi" w:hAnsiTheme="majorHAnsi" w:cstheme="majorHAnsi"/>
          <w:color w:val="auto"/>
          <w:spacing w:val="-4"/>
          <w:sz w:val="22"/>
          <w:szCs w:val="22"/>
        </w:rPr>
      </w:pPr>
      <w:r w:rsidRPr="004B4F2D">
        <w:rPr>
          <w:rFonts w:asciiTheme="majorHAnsi" w:hAnsiTheme="majorHAnsi" w:cstheme="majorHAnsi"/>
          <w:color w:val="auto"/>
          <w:spacing w:val="-4"/>
          <w:sz w:val="22"/>
          <w:szCs w:val="22"/>
        </w:rPr>
        <w:t>Nevertheless, the Group</w:t>
      </w:r>
      <w:r w:rsidR="00E96A16">
        <w:rPr>
          <w:rFonts w:asciiTheme="majorHAnsi" w:hAnsiTheme="majorHAnsi" w:hint="cs"/>
          <w:color w:val="auto"/>
          <w:spacing w:val="-4"/>
          <w:sz w:val="22"/>
          <w:szCs w:val="28"/>
          <w:cs/>
          <w:lang w:bidi="th-TH"/>
        </w:rPr>
        <w:t xml:space="preserve"> </w:t>
      </w:r>
      <w:r w:rsidR="00E96A16">
        <w:rPr>
          <w:rFonts w:asciiTheme="majorHAnsi" w:hAnsiTheme="majorHAnsi"/>
          <w:color w:val="auto"/>
          <w:spacing w:val="-4"/>
          <w:sz w:val="22"/>
          <w:szCs w:val="28"/>
          <w:lang w:bidi="th-TH"/>
        </w:rPr>
        <w:t>and the Company</w:t>
      </w:r>
      <w:r w:rsidRPr="004B4F2D">
        <w:rPr>
          <w:rFonts w:asciiTheme="majorHAnsi" w:hAnsiTheme="majorHAnsi" w:cstheme="majorHAnsi"/>
          <w:color w:val="auto"/>
          <w:spacing w:val="-4"/>
          <w:sz w:val="22"/>
          <w:szCs w:val="22"/>
        </w:rPr>
        <w:t xml:space="preserve"> still ha</w:t>
      </w:r>
      <w:r w:rsidR="003F733A">
        <w:rPr>
          <w:rFonts w:asciiTheme="majorHAnsi" w:hAnsiTheme="majorHAnsi" w:cstheme="majorHAnsi"/>
          <w:color w:val="auto"/>
          <w:spacing w:val="-4"/>
          <w:sz w:val="22"/>
          <w:szCs w:val="22"/>
        </w:rPr>
        <w:t>d</w:t>
      </w:r>
      <w:r w:rsidRPr="004B4F2D">
        <w:rPr>
          <w:rFonts w:asciiTheme="majorHAnsi" w:hAnsiTheme="majorHAnsi" w:cstheme="majorHAnsi"/>
          <w:color w:val="auto"/>
          <w:spacing w:val="-4"/>
          <w:sz w:val="22"/>
          <w:szCs w:val="22"/>
        </w:rPr>
        <w:t xml:space="preserve"> a significant amount of current liabilities due</w:t>
      </w:r>
      <w:r w:rsidR="003F733A">
        <w:rPr>
          <w:rFonts w:asciiTheme="majorHAnsi" w:hAnsiTheme="majorHAnsi" w:cstheme="majorHAnsi"/>
          <w:color w:val="auto"/>
          <w:spacing w:val="-4"/>
          <w:sz w:val="22"/>
          <w:szCs w:val="22"/>
        </w:rPr>
        <w:t xml:space="preserve"> as at 31 March 2025</w:t>
      </w:r>
      <w:r w:rsidRPr="004B4F2D">
        <w:rPr>
          <w:rFonts w:asciiTheme="majorHAnsi" w:hAnsiTheme="majorHAnsi" w:cstheme="majorHAnsi"/>
          <w:color w:val="auto"/>
          <w:spacing w:val="-4"/>
          <w:sz w:val="22"/>
          <w:szCs w:val="22"/>
        </w:rPr>
        <w:t xml:space="preserve"> and the management continues to plan to negotiate with financial institutions to change payment terms, as well as to secure additional borrowing sources to enhance liquidity. The management remains confident that these measures will help the Group </w:t>
      </w:r>
      <w:r w:rsidR="00E96A16">
        <w:rPr>
          <w:rFonts w:asciiTheme="majorHAnsi" w:hAnsiTheme="majorHAnsi"/>
          <w:color w:val="auto"/>
          <w:spacing w:val="-4"/>
          <w:sz w:val="22"/>
          <w:szCs w:val="28"/>
          <w:lang w:bidi="th-TH"/>
        </w:rPr>
        <w:t>and the Company</w:t>
      </w:r>
      <w:r w:rsidRPr="004B4F2D">
        <w:rPr>
          <w:rFonts w:asciiTheme="majorHAnsi" w:hAnsiTheme="majorHAnsi" w:cstheme="majorHAnsi"/>
          <w:color w:val="auto"/>
          <w:spacing w:val="-4"/>
          <w:sz w:val="22"/>
          <w:szCs w:val="22"/>
        </w:rPr>
        <w:t xml:space="preserve"> maintain liquidity. However, the situation still contains </w:t>
      </w:r>
      <w:r w:rsidR="001D427C">
        <w:rPr>
          <w:rFonts w:asciiTheme="majorHAnsi" w:hAnsiTheme="majorHAnsi" w:cstheme="majorHAnsi"/>
          <w:color w:val="auto"/>
          <w:spacing w:val="-4"/>
          <w:sz w:val="22"/>
          <w:szCs w:val="22"/>
        </w:rPr>
        <w:t>material</w:t>
      </w:r>
      <w:r w:rsidRPr="004B4F2D">
        <w:rPr>
          <w:rFonts w:asciiTheme="majorHAnsi" w:hAnsiTheme="majorHAnsi" w:cstheme="majorHAnsi"/>
          <w:color w:val="auto"/>
          <w:spacing w:val="-4"/>
          <w:sz w:val="22"/>
          <w:szCs w:val="22"/>
        </w:rPr>
        <w:t xml:space="preserve"> uncertainties that raise substantial doubt about the Group</w:t>
      </w:r>
      <w:r w:rsidR="00E23201">
        <w:rPr>
          <w:rFonts w:asciiTheme="majorHAnsi" w:hAnsiTheme="majorHAnsi" w:cstheme="majorHAnsi"/>
          <w:color w:val="auto"/>
          <w:spacing w:val="-4"/>
          <w:sz w:val="22"/>
          <w:szCs w:val="22"/>
        </w:rPr>
        <w:t>’</w:t>
      </w:r>
      <w:r w:rsidR="00B43769">
        <w:rPr>
          <w:rFonts w:asciiTheme="majorHAnsi" w:hAnsiTheme="majorHAnsi" w:cstheme="majorHAnsi"/>
          <w:color w:val="auto"/>
          <w:spacing w:val="-4"/>
          <w:sz w:val="22"/>
          <w:szCs w:val="22"/>
        </w:rPr>
        <w:t>s</w:t>
      </w:r>
      <w:r w:rsidR="00BF4903">
        <w:rPr>
          <w:rFonts w:asciiTheme="majorHAnsi" w:hAnsiTheme="majorHAnsi" w:cstheme="majorHAnsi"/>
          <w:color w:val="auto"/>
          <w:spacing w:val="-4"/>
          <w:sz w:val="22"/>
          <w:szCs w:val="22"/>
        </w:rPr>
        <w:t xml:space="preserve"> </w:t>
      </w:r>
      <w:r w:rsidR="00BF4903">
        <w:rPr>
          <w:rFonts w:asciiTheme="majorHAnsi" w:hAnsiTheme="majorHAnsi"/>
          <w:color w:val="auto"/>
          <w:spacing w:val="-4"/>
          <w:sz w:val="22"/>
          <w:szCs w:val="28"/>
          <w:lang w:bidi="th-TH"/>
        </w:rPr>
        <w:t>and the Company</w:t>
      </w:r>
      <w:r w:rsidR="00F03F87">
        <w:rPr>
          <w:rFonts w:asciiTheme="majorHAnsi" w:hAnsiTheme="majorHAnsi"/>
          <w:color w:val="auto"/>
          <w:spacing w:val="-4"/>
          <w:sz w:val="22"/>
          <w:szCs w:val="28"/>
          <w:lang w:bidi="th-TH"/>
        </w:rPr>
        <w:t>’s</w:t>
      </w:r>
      <w:r w:rsidRPr="004B4F2D">
        <w:rPr>
          <w:rFonts w:asciiTheme="majorHAnsi" w:hAnsiTheme="majorHAnsi" w:cstheme="majorHAnsi"/>
          <w:color w:val="auto"/>
          <w:spacing w:val="-4"/>
          <w:sz w:val="22"/>
          <w:szCs w:val="22"/>
        </w:rPr>
        <w:t xml:space="preserve"> ability to continue as a going concern, which depends on the Group</w:t>
      </w:r>
      <w:r w:rsidR="00B43769">
        <w:rPr>
          <w:rFonts w:asciiTheme="majorHAnsi" w:hAnsiTheme="majorHAnsi" w:cstheme="majorHAnsi"/>
          <w:color w:val="auto"/>
          <w:spacing w:val="-4"/>
          <w:sz w:val="22"/>
          <w:szCs w:val="22"/>
        </w:rPr>
        <w:t>’s</w:t>
      </w:r>
      <w:r w:rsidR="00BF4903">
        <w:rPr>
          <w:rFonts w:asciiTheme="majorHAnsi" w:hAnsiTheme="majorHAnsi" w:cstheme="majorHAnsi"/>
          <w:color w:val="auto"/>
          <w:spacing w:val="-4"/>
          <w:sz w:val="22"/>
          <w:szCs w:val="22"/>
        </w:rPr>
        <w:t xml:space="preserve"> </w:t>
      </w:r>
      <w:r w:rsidR="00BF4903">
        <w:rPr>
          <w:rFonts w:asciiTheme="majorHAnsi" w:hAnsiTheme="majorHAnsi"/>
          <w:color w:val="auto"/>
          <w:spacing w:val="-4"/>
          <w:sz w:val="22"/>
          <w:szCs w:val="28"/>
          <w:lang w:bidi="th-TH"/>
        </w:rPr>
        <w:t>and the Company</w:t>
      </w:r>
      <w:r w:rsidR="004525CF">
        <w:rPr>
          <w:rFonts w:asciiTheme="majorHAnsi" w:hAnsiTheme="majorHAnsi"/>
          <w:color w:val="auto"/>
          <w:spacing w:val="-4"/>
          <w:sz w:val="22"/>
          <w:szCs w:val="28"/>
          <w:lang w:bidi="th-TH"/>
        </w:rPr>
        <w:t>’s</w:t>
      </w:r>
      <w:r w:rsidRPr="004B4F2D">
        <w:rPr>
          <w:rFonts w:asciiTheme="majorHAnsi" w:hAnsiTheme="majorHAnsi" w:cstheme="majorHAnsi"/>
          <w:color w:val="auto"/>
          <w:spacing w:val="-4"/>
          <w:sz w:val="22"/>
          <w:szCs w:val="22"/>
        </w:rPr>
        <w:t xml:space="preserve"> operating results and the success in postponing various creditor repayments, including obtaining additional long-term loans from financial institutions.</w:t>
      </w:r>
      <w:r w:rsidR="00B5232C">
        <w:rPr>
          <w:rFonts w:asciiTheme="majorHAnsi" w:hAnsiTheme="majorHAnsi" w:cstheme="majorHAnsi"/>
          <w:color w:val="auto"/>
          <w:spacing w:val="-4"/>
          <w:sz w:val="22"/>
          <w:szCs w:val="22"/>
        </w:rPr>
        <w:t xml:space="preserve"> </w:t>
      </w:r>
      <w:r w:rsidR="00CB49B2" w:rsidRPr="00A218C5">
        <w:rPr>
          <w:rFonts w:asciiTheme="majorHAnsi" w:hAnsiTheme="majorHAnsi" w:cstheme="majorHAnsi"/>
          <w:color w:val="auto"/>
          <w:spacing w:val="-4"/>
          <w:sz w:val="22"/>
          <w:szCs w:val="22"/>
        </w:rPr>
        <w:t>My conclusion is not qualified in respect of this matter.</w:t>
      </w:r>
    </w:p>
    <w:p w14:paraId="3CFA2B37" w14:textId="77777777" w:rsidR="006A3A5A" w:rsidRDefault="006A3A5A" w:rsidP="00CB49B2">
      <w:pPr>
        <w:spacing w:line="240" w:lineRule="auto"/>
        <w:jc w:val="thaiDistribute"/>
        <w:rPr>
          <w:rFonts w:asciiTheme="majorHAnsi" w:hAnsiTheme="majorHAnsi" w:cstheme="majorHAnsi"/>
          <w:color w:val="auto"/>
          <w:spacing w:val="-4"/>
          <w:sz w:val="22"/>
          <w:szCs w:val="22"/>
        </w:rPr>
      </w:pPr>
    </w:p>
    <w:p w14:paraId="1BEB10E4" w14:textId="4CF2C39C" w:rsidR="00C86DB2" w:rsidRPr="00C86DB2" w:rsidRDefault="00AA4670" w:rsidP="00C86DB2">
      <w:pPr>
        <w:spacing w:line="240" w:lineRule="auto"/>
        <w:jc w:val="thaiDistribute"/>
        <w:rPr>
          <w:rFonts w:asciiTheme="majorHAnsi" w:hAnsiTheme="majorHAnsi" w:cstheme="majorHAnsi"/>
          <w:color w:val="auto"/>
          <w:spacing w:val="-4"/>
          <w:sz w:val="22"/>
          <w:szCs w:val="22"/>
        </w:rPr>
      </w:pPr>
      <w:r w:rsidRPr="00AA4670">
        <w:rPr>
          <w:rFonts w:asciiTheme="majorHAnsi" w:hAnsiTheme="majorHAnsi" w:cstheme="majorHAnsi"/>
          <w:color w:val="auto"/>
          <w:spacing w:val="-4"/>
          <w:sz w:val="22"/>
          <w:szCs w:val="22"/>
        </w:rPr>
        <w:t xml:space="preserve">I draw attention </w:t>
      </w:r>
      <w:r w:rsidR="00C86DB2" w:rsidRPr="00C86DB2">
        <w:rPr>
          <w:rFonts w:asciiTheme="majorHAnsi" w:hAnsiTheme="majorHAnsi" w:cstheme="majorHAnsi"/>
          <w:color w:val="auto"/>
          <w:spacing w:val="-4"/>
          <w:sz w:val="22"/>
          <w:szCs w:val="22"/>
        </w:rPr>
        <w:t>to Note 22 to the interim financial information concerning the correction of errors and the preparation of the condensed interim financial information (restated).</w:t>
      </w:r>
      <w:r w:rsidR="007A221E">
        <w:rPr>
          <w:rFonts w:asciiTheme="majorHAnsi" w:hAnsiTheme="majorHAnsi" w:cstheme="majorHAnsi"/>
          <w:color w:val="auto"/>
          <w:spacing w:val="-4"/>
          <w:sz w:val="22"/>
          <w:szCs w:val="22"/>
        </w:rPr>
        <w:t xml:space="preserve"> </w:t>
      </w:r>
      <w:r w:rsidR="00C86DB2" w:rsidRPr="00C86DB2">
        <w:rPr>
          <w:rFonts w:asciiTheme="majorHAnsi" w:hAnsiTheme="majorHAnsi" w:cstheme="majorHAnsi"/>
          <w:color w:val="auto"/>
          <w:spacing w:val="-4"/>
          <w:sz w:val="22"/>
          <w:szCs w:val="22"/>
        </w:rPr>
        <w:t>In order to comply with the order of the Office of the Securities and Exchange Commission, the Group has prepared and presented the consolidated and separate interim financial statements for the three-month period ended 31 March 2025 for re-issuance, replacing the previously issued financial statements that had been authorised for issue by the Group’s authorised directors, as summarised below.</w:t>
      </w:r>
    </w:p>
    <w:p w14:paraId="23F3B486" w14:textId="77777777" w:rsidR="00C86DB2" w:rsidRPr="00C86DB2" w:rsidRDefault="00C86DB2" w:rsidP="00C86DB2">
      <w:pPr>
        <w:spacing w:line="240" w:lineRule="auto"/>
        <w:jc w:val="thaiDistribute"/>
        <w:rPr>
          <w:rFonts w:asciiTheme="majorHAnsi" w:hAnsiTheme="majorHAnsi" w:cstheme="majorHAnsi"/>
          <w:color w:val="auto"/>
          <w:spacing w:val="-4"/>
          <w:sz w:val="22"/>
          <w:szCs w:val="22"/>
        </w:rPr>
      </w:pPr>
      <w:r w:rsidRPr="00C86DB2">
        <w:rPr>
          <w:rFonts w:asciiTheme="majorHAnsi" w:hAnsiTheme="majorHAnsi" w:cstheme="majorHAnsi"/>
          <w:color w:val="auto"/>
          <w:spacing w:val="-4"/>
          <w:sz w:val="22"/>
          <w:szCs w:val="22"/>
        </w:rPr>
        <w:t>First restatement (replacing the version previously authorised for issue on 15 May 2025) included significant adjustments in respect of:</w:t>
      </w:r>
    </w:p>
    <w:p w14:paraId="57614D46" w14:textId="5D4FD963" w:rsidR="00C86DB2" w:rsidRPr="00C86DB2" w:rsidRDefault="00C86DB2" w:rsidP="00C86DB2">
      <w:pPr>
        <w:pStyle w:val="ListParagraph"/>
        <w:numPr>
          <w:ilvl w:val="0"/>
          <w:numId w:val="8"/>
        </w:numPr>
        <w:spacing w:line="240" w:lineRule="auto"/>
        <w:jc w:val="thaiDistribute"/>
        <w:rPr>
          <w:rFonts w:asciiTheme="majorHAnsi" w:hAnsiTheme="majorHAnsi" w:cstheme="majorHAnsi"/>
          <w:color w:val="auto"/>
          <w:spacing w:val="-4"/>
          <w:sz w:val="22"/>
          <w:szCs w:val="22"/>
        </w:rPr>
      </w:pPr>
      <w:r w:rsidRPr="00C86DB2">
        <w:rPr>
          <w:rFonts w:asciiTheme="majorHAnsi" w:hAnsiTheme="majorHAnsi" w:cstheme="majorHAnsi"/>
          <w:color w:val="auto"/>
          <w:spacing w:val="-4"/>
          <w:sz w:val="22"/>
          <w:szCs w:val="22"/>
        </w:rPr>
        <w:t xml:space="preserve">the correction of the accounting treatment for the acquisition of investments in the KAL Group, whereby the transaction was reassessed from a business combination to an asset acquisition, resulting </w:t>
      </w:r>
      <w:r w:rsidRPr="00C86DB2">
        <w:rPr>
          <w:rFonts w:asciiTheme="majorHAnsi" w:hAnsiTheme="majorHAnsi" w:cstheme="majorHAnsi"/>
          <w:color w:val="auto"/>
          <w:spacing w:val="-4"/>
          <w:sz w:val="22"/>
          <w:szCs w:val="22"/>
        </w:rPr>
        <w:lastRenderedPageBreak/>
        <w:t>in an additional loss on asset acquisition of Baht 421.1 million recognised in the consolidated financial statements for the year ended 31 December 2024</w:t>
      </w:r>
      <w:r>
        <w:rPr>
          <w:rFonts w:asciiTheme="majorHAnsi" w:hAnsiTheme="majorHAnsi" w:cstheme="majorHAnsi"/>
          <w:color w:val="auto"/>
          <w:spacing w:val="-4"/>
          <w:sz w:val="22"/>
          <w:szCs w:val="22"/>
        </w:rPr>
        <w:t>.</w:t>
      </w:r>
    </w:p>
    <w:p w14:paraId="4ADE530A" w14:textId="1F216DED" w:rsidR="00C86DB2" w:rsidRPr="00C86DB2" w:rsidRDefault="00C86DB2" w:rsidP="00C86DB2">
      <w:pPr>
        <w:pStyle w:val="ListParagraph"/>
        <w:numPr>
          <w:ilvl w:val="0"/>
          <w:numId w:val="8"/>
        </w:numPr>
        <w:spacing w:line="240" w:lineRule="auto"/>
        <w:jc w:val="thaiDistribute"/>
        <w:rPr>
          <w:rFonts w:asciiTheme="majorHAnsi" w:hAnsiTheme="majorHAnsi" w:cstheme="majorHAnsi"/>
          <w:color w:val="auto"/>
          <w:spacing w:val="-4"/>
          <w:sz w:val="22"/>
          <w:szCs w:val="22"/>
        </w:rPr>
      </w:pPr>
      <w:r w:rsidRPr="00C86DB2">
        <w:rPr>
          <w:rFonts w:asciiTheme="majorHAnsi" w:hAnsiTheme="majorHAnsi" w:cstheme="majorHAnsi"/>
          <w:color w:val="auto"/>
          <w:spacing w:val="-4"/>
          <w:sz w:val="22"/>
          <w:szCs w:val="22"/>
        </w:rPr>
        <w:t>the recognition of additional expected credit loss allowances on loans to subsidiaries and accrued interest receivable amounting to Baht 292.2 million in the separate financial statements for the year ended 31 December 2024</w:t>
      </w:r>
      <w:r>
        <w:rPr>
          <w:rFonts w:asciiTheme="majorHAnsi" w:hAnsiTheme="majorHAnsi" w:cstheme="majorHAnsi"/>
          <w:color w:val="auto"/>
          <w:spacing w:val="-4"/>
          <w:sz w:val="22"/>
          <w:szCs w:val="22"/>
        </w:rPr>
        <w:t>.</w:t>
      </w:r>
    </w:p>
    <w:p w14:paraId="4E2493F4" w14:textId="1BB649DC" w:rsidR="00C86DB2" w:rsidRPr="00F0317F" w:rsidRDefault="00C86DB2" w:rsidP="00F0317F">
      <w:pPr>
        <w:pStyle w:val="ListParagraph"/>
        <w:numPr>
          <w:ilvl w:val="0"/>
          <w:numId w:val="8"/>
        </w:numPr>
        <w:spacing w:line="240" w:lineRule="auto"/>
        <w:jc w:val="thaiDistribute"/>
        <w:rPr>
          <w:rFonts w:asciiTheme="majorHAnsi" w:hAnsiTheme="majorHAnsi" w:cstheme="majorHAnsi"/>
          <w:color w:val="auto"/>
          <w:spacing w:val="-4"/>
          <w:sz w:val="22"/>
          <w:szCs w:val="22"/>
        </w:rPr>
      </w:pPr>
      <w:r w:rsidRPr="00F0317F">
        <w:rPr>
          <w:rFonts w:asciiTheme="majorHAnsi" w:hAnsiTheme="majorHAnsi" w:cstheme="majorHAnsi"/>
          <w:color w:val="auto"/>
          <w:spacing w:val="-4"/>
          <w:sz w:val="22"/>
          <w:szCs w:val="22"/>
        </w:rPr>
        <w:t>the recognition of additional impairment loss on investments in subsidiaries amounting to Baht 115.5 million in the separate financial statements for the year ended 31 December 2024</w:t>
      </w:r>
      <w:r w:rsidR="00F0317F" w:rsidRPr="00F0317F">
        <w:rPr>
          <w:rFonts w:asciiTheme="majorHAnsi" w:hAnsiTheme="majorHAnsi" w:cstheme="majorHAnsi"/>
          <w:color w:val="auto"/>
          <w:spacing w:val="-4"/>
          <w:sz w:val="22"/>
          <w:szCs w:val="22"/>
        </w:rPr>
        <w:t>.</w:t>
      </w:r>
    </w:p>
    <w:p w14:paraId="6C4CD200" w14:textId="2BB3CBD2" w:rsidR="00C86DB2" w:rsidRPr="00F0317F" w:rsidRDefault="00C86DB2" w:rsidP="00F0317F">
      <w:pPr>
        <w:pStyle w:val="ListParagraph"/>
        <w:numPr>
          <w:ilvl w:val="0"/>
          <w:numId w:val="8"/>
        </w:numPr>
        <w:spacing w:line="240" w:lineRule="auto"/>
        <w:jc w:val="thaiDistribute"/>
        <w:rPr>
          <w:rFonts w:asciiTheme="majorHAnsi" w:hAnsiTheme="majorHAnsi" w:cstheme="majorHAnsi"/>
          <w:color w:val="auto"/>
          <w:spacing w:val="-4"/>
          <w:sz w:val="22"/>
          <w:szCs w:val="22"/>
        </w:rPr>
      </w:pPr>
      <w:r w:rsidRPr="00F0317F">
        <w:rPr>
          <w:rFonts w:asciiTheme="majorHAnsi" w:hAnsiTheme="majorHAnsi" w:cstheme="majorHAnsi"/>
          <w:color w:val="auto"/>
          <w:spacing w:val="-4"/>
          <w:sz w:val="22"/>
          <w:szCs w:val="22"/>
        </w:rPr>
        <w:t>adjustments arising from the identification of inventory discrepancies at a subsidiary in the consolidated financial statements for the year ended 31 December 2024.</w:t>
      </w:r>
    </w:p>
    <w:p w14:paraId="5A214C73" w14:textId="3BE6DCAD" w:rsidR="00C86DB2" w:rsidRPr="00C86DB2" w:rsidRDefault="00C86DB2" w:rsidP="00C86DB2">
      <w:pPr>
        <w:spacing w:line="240" w:lineRule="auto"/>
        <w:jc w:val="thaiDistribute"/>
        <w:rPr>
          <w:rFonts w:asciiTheme="majorHAnsi" w:hAnsiTheme="majorHAnsi" w:cstheme="majorHAnsi"/>
          <w:color w:val="auto"/>
          <w:spacing w:val="-4"/>
          <w:sz w:val="22"/>
          <w:szCs w:val="22"/>
        </w:rPr>
      </w:pPr>
      <w:r w:rsidRPr="00C86DB2">
        <w:rPr>
          <w:rFonts w:asciiTheme="majorHAnsi" w:hAnsiTheme="majorHAnsi" w:cstheme="majorHAnsi"/>
          <w:color w:val="auto"/>
          <w:spacing w:val="-4"/>
          <w:sz w:val="22"/>
          <w:szCs w:val="22"/>
        </w:rPr>
        <w:t xml:space="preserve">The above adjustments were recognised as an adjustment to opening </w:t>
      </w:r>
      <w:r w:rsidR="008F5794">
        <w:rPr>
          <w:rFonts w:asciiTheme="majorHAnsi" w:hAnsiTheme="majorHAnsi" w:cstheme="majorHAnsi"/>
          <w:color w:val="auto"/>
          <w:spacing w:val="-4"/>
          <w:sz w:val="22"/>
          <w:szCs w:val="22"/>
        </w:rPr>
        <w:t>retained ear</w:t>
      </w:r>
      <w:r w:rsidR="000D1AFE">
        <w:rPr>
          <w:rFonts w:asciiTheme="majorHAnsi" w:hAnsiTheme="majorHAnsi" w:cstheme="majorHAnsi"/>
          <w:color w:val="auto"/>
          <w:spacing w:val="-4"/>
          <w:sz w:val="22"/>
          <w:szCs w:val="22"/>
        </w:rPr>
        <w:t>ning (</w:t>
      </w:r>
      <w:r w:rsidR="00BA3F6E">
        <w:rPr>
          <w:rFonts w:asciiTheme="majorHAnsi" w:hAnsiTheme="majorHAnsi" w:cstheme="majorHAnsi"/>
          <w:color w:val="auto"/>
          <w:spacing w:val="-4"/>
          <w:sz w:val="22"/>
          <w:szCs w:val="22"/>
        </w:rPr>
        <w:t>d</w:t>
      </w:r>
      <w:r w:rsidR="000D1AFE">
        <w:rPr>
          <w:rFonts w:asciiTheme="majorHAnsi" w:hAnsiTheme="majorHAnsi" w:cstheme="majorHAnsi"/>
          <w:color w:val="auto"/>
          <w:spacing w:val="-4"/>
          <w:sz w:val="22"/>
          <w:szCs w:val="22"/>
        </w:rPr>
        <w:t>eficits)</w:t>
      </w:r>
      <w:r w:rsidRPr="00C86DB2">
        <w:rPr>
          <w:rFonts w:asciiTheme="majorHAnsi" w:hAnsiTheme="majorHAnsi" w:cstheme="majorHAnsi"/>
          <w:color w:val="auto"/>
          <w:spacing w:val="-4"/>
          <w:sz w:val="22"/>
          <w:szCs w:val="22"/>
        </w:rPr>
        <w:t xml:space="preserve"> for the year 2025, together with corresponding amendments to the relevant notes to the interim financial information.</w:t>
      </w:r>
    </w:p>
    <w:p w14:paraId="49D01691" w14:textId="16ACB229" w:rsidR="00C4343A" w:rsidRDefault="00C86DB2" w:rsidP="00C86DB2">
      <w:pPr>
        <w:spacing w:line="240" w:lineRule="auto"/>
        <w:jc w:val="thaiDistribute"/>
        <w:rPr>
          <w:rFonts w:asciiTheme="majorHAnsi" w:hAnsiTheme="majorHAnsi" w:cstheme="majorHAnsi"/>
          <w:color w:val="auto"/>
          <w:spacing w:val="-4"/>
          <w:sz w:val="22"/>
          <w:szCs w:val="22"/>
        </w:rPr>
      </w:pPr>
      <w:r w:rsidRPr="00C86DB2">
        <w:rPr>
          <w:rFonts w:asciiTheme="majorHAnsi" w:hAnsiTheme="majorHAnsi" w:cstheme="majorHAnsi"/>
          <w:color w:val="auto"/>
          <w:spacing w:val="-4"/>
          <w:sz w:val="22"/>
          <w:szCs w:val="22"/>
        </w:rPr>
        <w:t xml:space="preserve">Second restatement (replacing the version previously authorised for issue on 30 October 2025) </w:t>
      </w:r>
      <w:r w:rsidR="008D51A8" w:rsidRPr="008D51A8">
        <w:rPr>
          <w:rFonts w:asciiTheme="majorHAnsi" w:hAnsiTheme="majorHAnsi" w:cstheme="majorHAnsi"/>
          <w:color w:val="auto"/>
          <w:spacing w:val="-4"/>
          <w:sz w:val="22"/>
          <w:szCs w:val="22"/>
        </w:rPr>
        <w:t>,</w:t>
      </w:r>
      <w:r w:rsidR="008D51A8">
        <w:rPr>
          <w:rFonts w:asciiTheme="majorHAnsi" w:hAnsiTheme="majorHAnsi" w:cstheme="majorHAnsi"/>
          <w:color w:val="auto"/>
          <w:spacing w:val="-4"/>
          <w:sz w:val="22"/>
          <w:szCs w:val="22"/>
        </w:rPr>
        <w:t xml:space="preserve"> </w:t>
      </w:r>
      <w:r w:rsidR="008D51A8" w:rsidRPr="008D51A8">
        <w:rPr>
          <w:rFonts w:asciiTheme="majorHAnsi" w:hAnsiTheme="majorHAnsi" w:cstheme="majorHAnsi"/>
          <w:color w:val="auto"/>
          <w:spacing w:val="-4"/>
          <w:sz w:val="22"/>
          <w:szCs w:val="22"/>
        </w:rPr>
        <w:t>with additional significant adjustments relating to the inventory of one subsidiary arising from the completion of the inventory variance analysis process. As a result, the Group recognised additional inventory differences charged to cost of sales and administrative expenses in the consolidated statement of comprehensive income for the year ended 2024, amounting in aggregate to THB 11.2 million compared with the latest previously issued financial statements. These adjustments were recognised as opening retained earnings</w:t>
      </w:r>
      <w:r w:rsidR="005142A8">
        <w:rPr>
          <w:rFonts w:asciiTheme="majorHAnsi" w:hAnsiTheme="majorHAnsi" w:cstheme="majorHAnsi"/>
          <w:color w:val="auto"/>
          <w:spacing w:val="-4"/>
          <w:sz w:val="22"/>
          <w:szCs w:val="22"/>
        </w:rPr>
        <w:t xml:space="preserve"> </w:t>
      </w:r>
      <w:r w:rsidR="005142A8" w:rsidRPr="005142A8">
        <w:rPr>
          <w:rFonts w:asciiTheme="majorHAnsi" w:hAnsiTheme="majorHAnsi" w:cstheme="majorHAnsi"/>
          <w:color w:val="auto"/>
          <w:spacing w:val="-4"/>
          <w:sz w:val="22"/>
          <w:szCs w:val="22"/>
        </w:rPr>
        <w:t>(</w:t>
      </w:r>
      <w:r w:rsidR="00BA3F6E">
        <w:rPr>
          <w:rFonts w:asciiTheme="majorHAnsi" w:hAnsiTheme="majorHAnsi" w:cstheme="majorHAnsi"/>
          <w:color w:val="auto"/>
          <w:spacing w:val="-4"/>
          <w:sz w:val="22"/>
          <w:szCs w:val="22"/>
        </w:rPr>
        <w:t>deficits</w:t>
      </w:r>
      <w:r w:rsidR="005142A8" w:rsidRPr="005142A8">
        <w:rPr>
          <w:rFonts w:asciiTheme="majorHAnsi" w:hAnsiTheme="majorHAnsi" w:cstheme="majorHAnsi"/>
          <w:color w:val="auto"/>
          <w:spacing w:val="-4"/>
          <w:sz w:val="22"/>
          <w:szCs w:val="22"/>
        </w:rPr>
        <w:t>)</w:t>
      </w:r>
      <w:r w:rsidR="005142A8">
        <w:rPr>
          <w:rFonts w:asciiTheme="majorHAnsi" w:hAnsiTheme="majorHAnsi" w:cstheme="majorHAnsi"/>
          <w:color w:val="auto"/>
          <w:spacing w:val="-4"/>
          <w:sz w:val="22"/>
          <w:szCs w:val="22"/>
        </w:rPr>
        <w:t xml:space="preserve"> </w:t>
      </w:r>
      <w:r w:rsidR="008D51A8" w:rsidRPr="008D51A8">
        <w:rPr>
          <w:rFonts w:asciiTheme="majorHAnsi" w:hAnsiTheme="majorHAnsi" w:cstheme="majorHAnsi"/>
          <w:color w:val="auto"/>
          <w:spacing w:val="-4"/>
          <w:sz w:val="22"/>
          <w:szCs w:val="22"/>
        </w:rPr>
        <w:t xml:space="preserve">for the year ended 2025. In addition, the Group recognised a reduction in inventory differences charged to cost of sales and administrative expenses in the consolidated statement of comprehensive income </w:t>
      </w:r>
      <w:r w:rsidR="00D7681A">
        <w:rPr>
          <w:rFonts w:asciiTheme="majorHAnsi" w:hAnsiTheme="majorHAnsi" w:cstheme="majorHAnsi"/>
          <w:color w:val="auto"/>
          <w:spacing w:val="-4"/>
          <w:sz w:val="22"/>
          <w:szCs w:val="22"/>
        </w:rPr>
        <w:t xml:space="preserve">(expense) </w:t>
      </w:r>
      <w:r w:rsidR="008D51A8" w:rsidRPr="008D51A8">
        <w:rPr>
          <w:rFonts w:asciiTheme="majorHAnsi" w:hAnsiTheme="majorHAnsi" w:cstheme="majorHAnsi"/>
          <w:color w:val="auto"/>
          <w:spacing w:val="-4"/>
          <w:sz w:val="22"/>
          <w:szCs w:val="22"/>
        </w:rPr>
        <w:t>for the three-month periods ended 31 March 2025 and 2024, amounting in aggregate to THB 5.32 million and THB 0.53 million, respectively.</w:t>
      </w:r>
    </w:p>
    <w:p w14:paraId="0C2F04AC" w14:textId="77777777" w:rsidR="00800D68" w:rsidRPr="00C86DB2" w:rsidRDefault="00800D68" w:rsidP="00C86DB2">
      <w:pPr>
        <w:spacing w:line="240" w:lineRule="auto"/>
        <w:jc w:val="thaiDistribute"/>
        <w:rPr>
          <w:rFonts w:asciiTheme="majorHAnsi" w:hAnsiTheme="majorHAnsi" w:cstheme="majorHAnsi"/>
          <w:color w:val="auto"/>
          <w:spacing w:val="-4"/>
          <w:sz w:val="22"/>
          <w:szCs w:val="22"/>
        </w:rPr>
      </w:pPr>
    </w:p>
    <w:p w14:paraId="46023787" w14:textId="76DB199E" w:rsidR="008418B9" w:rsidRDefault="00C86DB2" w:rsidP="00C86DB2">
      <w:pPr>
        <w:spacing w:line="240" w:lineRule="auto"/>
        <w:jc w:val="thaiDistribute"/>
        <w:rPr>
          <w:rFonts w:asciiTheme="majorHAnsi" w:hAnsiTheme="majorHAnsi" w:cstheme="majorHAnsi"/>
          <w:color w:val="auto"/>
          <w:spacing w:val="-4"/>
          <w:sz w:val="22"/>
          <w:szCs w:val="22"/>
        </w:rPr>
      </w:pPr>
      <w:r w:rsidRPr="00C86DB2">
        <w:rPr>
          <w:rFonts w:asciiTheme="majorHAnsi" w:hAnsiTheme="majorHAnsi" w:cstheme="majorHAnsi"/>
          <w:color w:val="auto"/>
          <w:spacing w:val="-4"/>
          <w:sz w:val="22"/>
          <w:szCs w:val="22"/>
        </w:rPr>
        <w:t xml:space="preserve">In addition, the comparative consolidated financial statements for the year ended 31 December 2024 and for the three-month period ended 31 March 2024 have been restated to reflect the additional inventory-related adjustments of the subsidiary, as disclosed in Note 22 to the interim financial information. However, our conclusion on the consolidated and separate financial statements for the three-month period ended 31 March 2024 remains qualified, as described in the </w:t>
      </w:r>
      <w:r w:rsidRPr="00F81EC3">
        <w:rPr>
          <w:rFonts w:asciiTheme="majorHAnsi" w:hAnsiTheme="majorHAnsi" w:cstheme="majorHAnsi"/>
          <w:i/>
          <w:iCs/>
          <w:color w:val="auto"/>
          <w:spacing w:val="-4"/>
          <w:sz w:val="22"/>
          <w:szCs w:val="22"/>
        </w:rPr>
        <w:t>Basis for Qualified Conclusion paragraph</w:t>
      </w:r>
      <w:r w:rsidR="00A60D4C" w:rsidRPr="00A60D4C">
        <w:rPr>
          <w:rFonts w:asciiTheme="majorHAnsi" w:hAnsiTheme="majorHAnsi" w:cstheme="majorHAnsi"/>
          <w:color w:val="auto"/>
          <w:spacing w:val="-4"/>
          <w:sz w:val="22"/>
          <w:szCs w:val="22"/>
        </w:rPr>
        <w:t>.</w:t>
      </w:r>
    </w:p>
    <w:p w14:paraId="69E3882E" w14:textId="77777777" w:rsidR="001C7359" w:rsidRPr="008418B9" w:rsidRDefault="001C7359" w:rsidP="008418B9">
      <w:pPr>
        <w:spacing w:line="240" w:lineRule="auto"/>
        <w:jc w:val="thaiDistribute"/>
        <w:rPr>
          <w:rFonts w:asciiTheme="majorHAnsi" w:hAnsiTheme="majorHAnsi"/>
          <w:color w:val="auto"/>
          <w:spacing w:val="-4"/>
          <w:sz w:val="22"/>
          <w:szCs w:val="28"/>
          <w:lang w:bidi="th-TH"/>
        </w:rPr>
      </w:pPr>
    </w:p>
    <w:p w14:paraId="139C19AB" w14:textId="4C862CA3" w:rsidR="00BD4F8A" w:rsidRPr="009711EC" w:rsidRDefault="00875104" w:rsidP="00BD4F8A">
      <w:pPr>
        <w:pStyle w:val="Default"/>
        <w:jc w:val="thaiDistribute"/>
        <w:rPr>
          <w:rFonts w:asciiTheme="majorHAnsi" w:hAnsiTheme="majorHAnsi" w:cstheme="minorBidi"/>
          <w:b/>
          <w:bCs/>
          <w:sz w:val="22"/>
          <w:szCs w:val="22"/>
          <w:cs/>
        </w:rPr>
      </w:pPr>
      <w:r w:rsidRPr="00F67F27">
        <w:rPr>
          <w:rFonts w:asciiTheme="majorHAnsi" w:hAnsiTheme="majorHAnsi" w:cstheme="majorHAnsi"/>
          <w:b/>
          <w:bCs/>
          <w:sz w:val="22"/>
          <w:szCs w:val="22"/>
        </w:rPr>
        <w:t>Other Matter</w:t>
      </w:r>
    </w:p>
    <w:p w14:paraId="66916A2B" w14:textId="77777777" w:rsidR="00BD4F8A" w:rsidRPr="0060664A" w:rsidRDefault="00BD4F8A" w:rsidP="00BD4F8A">
      <w:pPr>
        <w:pStyle w:val="Default"/>
        <w:jc w:val="thaiDistribute"/>
        <w:rPr>
          <w:rFonts w:asciiTheme="majorHAnsi" w:hAnsiTheme="majorHAnsi" w:cstheme="minorBidi"/>
          <w:sz w:val="22"/>
          <w:szCs w:val="22"/>
          <w:cs/>
        </w:rPr>
      </w:pPr>
    </w:p>
    <w:p w14:paraId="553A068C" w14:textId="645E6938" w:rsidR="00626293" w:rsidRPr="00626293" w:rsidRDefault="00A741CB" w:rsidP="00626293">
      <w:pPr>
        <w:spacing w:line="240" w:lineRule="auto"/>
        <w:jc w:val="thaiDistribute"/>
        <w:rPr>
          <w:rFonts w:asciiTheme="majorHAnsi" w:hAnsiTheme="majorHAnsi" w:cstheme="majorHAnsi"/>
          <w:color w:val="auto"/>
          <w:spacing w:val="-4"/>
          <w:sz w:val="22"/>
          <w:szCs w:val="22"/>
        </w:rPr>
      </w:pPr>
      <w:r w:rsidRPr="00A741CB">
        <w:rPr>
          <w:rFonts w:asciiTheme="majorHAnsi" w:hAnsiTheme="majorHAnsi" w:cstheme="majorHAnsi"/>
          <w:color w:val="auto"/>
          <w:spacing w:val="-4"/>
          <w:sz w:val="22"/>
          <w:szCs w:val="22"/>
        </w:rPr>
        <w:t>The consolidated and separate financial statements of the Group and the Company for the year ended 31 December 2024 (restated), presented as comparative information, were audited by another auditor, who expressed a qualified opinion in the auditor’s report dated 28 February 2025 (except for adjustments relating to</w:t>
      </w:r>
      <w:r w:rsidR="00626293" w:rsidRPr="00626293">
        <w:rPr>
          <w:rFonts w:asciiTheme="majorHAnsi" w:hAnsiTheme="majorHAnsi" w:cstheme="majorHAnsi"/>
          <w:color w:val="auto"/>
          <w:spacing w:val="-4"/>
          <w:sz w:val="22"/>
          <w:szCs w:val="22"/>
        </w:rPr>
        <w:t xml:space="preserve"> the accounting for</w:t>
      </w:r>
      <w:r w:rsidRPr="00A741CB">
        <w:rPr>
          <w:rFonts w:asciiTheme="majorHAnsi" w:hAnsiTheme="majorHAnsi" w:cstheme="majorHAnsi"/>
          <w:color w:val="auto"/>
          <w:spacing w:val="-4"/>
          <w:sz w:val="22"/>
          <w:szCs w:val="22"/>
        </w:rPr>
        <w:t xml:space="preserve"> the acquisition of investments in the KAL </w:t>
      </w:r>
      <w:r w:rsidR="00626293" w:rsidRPr="00626293">
        <w:rPr>
          <w:rFonts w:asciiTheme="majorHAnsi" w:hAnsiTheme="majorHAnsi" w:cstheme="majorHAnsi"/>
          <w:color w:val="auto"/>
          <w:spacing w:val="-4"/>
          <w:sz w:val="22"/>
          <w:szCs w:val="22"/>
        </w:rPr>
        <w:t>Group as an asset acquisition rather than</w:t>
      </w:r>
      <w:r w:rsidRPr="00A741CB">
        <w:rPr>
          <w:rFonts w:asciiTheme="majorHAnsi" w:hAnsiTheme="majorHAnsi" w:cstheme="majorHAnsi"/>
          <w:color w:val="auto"/>
          <w:spacing w:val="-4"/>
          <w:sz w:val="22"/>
          <w:szCs w:val="22"/>
        </w:rPr>
        <w:t xml:space="preserve"> a business combination, investments in subsidiaries, loans to subsidiaries and accrued interest</w:t>
      </w:r>
      <w:r w:rsidR="00626293" w:rsidRPr="00626293">
        <w:rPr>
          <w:rFonts w:asciiTheme="majorHAnsi" w:hAnsiTheme="majorHAnsi" w:cstheme="majorHAnsi"/>
          <w:color w:val="auto"/>
          <w:spacing w:val="-4"/>
          <w:sz w:val="22"/>
          <w:szCs w:val="22"/>
        </w:rPr>
        <w:t>, and</w:t>
      </w:r>
      <w:r w:rsidRPr="00A741CB">
        <w:rPr>
          <w:rFonts w:asciiTheme="majorHAnsi" w:hAnsiTheme="majorHAnsi" w:cstheme="majorHAnsi"/>
          <w:color w:val="auto"/>
          <w:spacing w:val="-4"/>
          <w:sz w:val="22"/>
          <w:szCs w:val="22"/>
        </w:rPr>
        <w:t xml:space="preserve"> inventory, cost of sales and other related accounts arising from adjustments </w:t>
      </w:r>
      <w:r w:rsidR="00626293" w:rsidRPr="00626293">
        <w:rPr>
          <w:rFonts w:asciiTheme="majorHAnsi" w:hAnsiTheme="majorHAnsi" w:cstheme="majorHAnsi"/>
          <w:color w:val="auto"/>
          <w:spacing w:val="-4"/>
          <w:sz w:val="22"/>
          <w:szCs w:val="22"/>
        </w:rPr>
        <w:t>to</w:t>
      </w:r>
      <w:r w:rsidRPr="00A741CB">
        <w:rPr>
          <w:rFonts w:asciiTheme="majorHAnsi" w:hAnsiTheme="majorHAnsi" w:cstheme="majorHAnsi"/>
          <w:color w:val="auto"/>
          <w:spacing w:val="-4"/>
          <w:sz w:val="22"/>
          <w:szCs w:val="22"/>
        </w:rPr>
        <w:t xml:space="preserve"> inventory count </w:t>
      </w:r>
      <w:r w:rsidR="00626293" w:rsidRPr="00626293">
        <w:rPr>
          <w:rFonts w:asciiTheme="majorHAnsi" w:hAnsiTheme="majorHAnsi" w:cstheme="majorHAnsi"/>
          <w:color w:val="auto"/>
          <w:spacing w:val="-4"/>
          <w:sz w:val="22"/>
          <w:szCs w:val="22"/>
        </w:rPr>
        <w:t>variances</w:t>
      </w:r>
      <w:r w:rsidRPr="00A741CB">
        <w:rPr>
          <w:rFonts w:asciiTheme="majorHAnsi" w:hAnsiTheme="majorHAnsi" w:cstheme="majorHAnsi"/>
          <w:color w:val="auto"/>
          <w:spacing w:val="-4"/>
          <w:sz w:val="22"/>
          <w:szCs w:val="22"/>
        </w:rPr>
        <w:t xml:space="preserve"> of </w:t>
      </w:r>
      <w:r w:rsidR="00626293" w:rsidRPr="00626293">
        <w:rPr>
          <w:rFonts w:asciiTheme="majorHAnsi" w:hAnsiTheme="majorHAnsi" w:cstheme="majorHAnsi"/>
          <w:color w:val="auto"/>
          <w:spacing w:val="-4"/>
          <w:sz w:val="22"/>
          <w:szCs w:val="22"/>
        </w:rPr>
        <w:t>one</w:t>
      </w:r>
      <w:r w:rsidRPr="00A741CB">
        <w:rPr>
          <w:rFonts w:asciiTheme="majorHAnsi" w:hAnsiTheme="majorHAnsi" w:cstheme="majorHAnsi"/>
          <w:color w:val="auto"/>
          <w:spacing w:val="-4"/>
          <w:sz w:val="22"/>
          <w:szCs w:val="22"/>
        </w:rPr>
        <w:t xml:space="preserve"> subsidiary, </w:t>
      </w:r>
      <w:r w:rsidR="00626293" w:rsidRPr="00626293">
        <w:rPr>
          <w:rFonts w:asciiTheme="majorHAnsi" w:hAnsiTheme="majorHAnsi" w:cstheme="majorHAnsi"/>
          <w:color w:val="auto"/>
          <w:spacing w:val="-4"/>
          <w:sz w:val="22"/>
          <w:szCs w:val="22"/>
        </w:rPr>
        <w:t>including</w:t>
      </w:r>
      <w:r w:rsidRPr="00A741CB">
        <w:rPr>
          <w:rFonts w:asciiTheme="majorHAnsi" w:hAnsiTheme="majorHAnsi" w:cstheme="majorHAnsi"/>
          <w:color w:val="auto"/>
          <w:spacing w:val="-4"/>
          <w:sz w:val="22"/>
          <w:szCs w:val="22"/>
        </w:rPr>
        <w:t xml:space="preserve"> the reading and consideration of other information</w:t>
      </w:r>
      <w:r w:rsidR="00626293" w:rsidRPr="00626293">
        <w:rPr>
          <w:rFonts w:asciiTheme="majorHAnsi" w:hAnsiTheme="majorHAnsi" w:cstheme="majorHAnsi"/>
          <w:color w:val="auto"/>
          <w:spacing w:val="-4"/>
          <w:sz w:val="22"/>
          <w:szCs w:val="22"/>
        </w:rPr>
        <w:t xml:space="preserve"> related thereto, dated </w:t>
      </w:r>
      <w:r w:rsidRPr="00A741CB">
        <w:rPr>
          <w:rFonts w:asciiTheme="majorHAnsi" w:hAnsiTheme="majorHAnsi" w:cstheme="majorHAnsi"/>
          <w:color w:val="auto"/>
          <w:spacing w:val="-4"/>
          <w:sz w:val="22"/>
          <w:szCs w:val="22"/>
        </w:rPr>
        <w:t xml:space="preserve">15 December 2025). These financial statements were authorised for issue by the Group’s authorised </w:t>
      </w:r>
      <w:r w:rsidR="00626293" w:rsidRPr="00626293">
        <w:rPr>
          <w:rFonts w:asciiTheme="majorHAnsi" w:hAnsiTheme="majorHAnsi" w:cstheme="majorHAnsi"/>
          <w:color w:val="auto"/>
          <w:spacing w:val="-4"/>
          <w:sz w:val="22"/>
          <w:szCs w:val="22"/>
        </w:rPr>
        <w:t>Board</w:t>
      </w:r>
      <w:r w:rsidR="007860EA">
        <w:rPr>
          <w:rFonts w:asciiTheme="majorHAnsi" w:hAnsiTheme="majorHAnsi" w:cstheme="majorHAnsi"/>
          <w:color w:val="auto"/>
          <w:spacing w:val="-4"/>
          <w:sz w:val="22"/>
          <w:szCs w:val="22"/>
        </w:rPr>
        <w:t xml:space="preserve"> of </w:t>
      </w:r>
      <w:r w:rsidR="00626293" w:rsidRPr="00626293">
        <w:rPr>
          <w:rFonts w:asciiTheme="majorHAnsi" w:hAnsiTheme="majorHAnsi" w:cstheme="majorHAnsi"/>
          <w:color w:val="auto"/>
          <w:spacing w:val="-4"/>
          <w:sz w:val="22"/>
          <w:szCs w:val="22"/>
        </w:rPr>
        <w:t>Directors</w:t>
      </w:r>
      <w:r w:rsidRPr="00A741CB">
        <w:rPr>
          <w:rFonts w:asciiTheme="majorHAnsi" w:hAnsiTheme="majorHAnsi" w:cstheme="majorHAnsi"/>
          <w:color w:val="auto"/>
          <w:spacing w:val="-4"/>
          <w:sz w:val="22"/>
          <w:szCs w:val="22"/>
        </w:rPr>
        <w:t xml:space="preserve"> on 15 December 2025 to replace the financial statements </w:t>
      </w:r>
      <w:r w:rsidR="00626293" w:rsidRPr="00626293">
        <w:rPr>
          <w:rFonts w:asciiTheme="majorHAnsi" w:hAnsiTheme="majorHAnsi" w:cstheme="majorHAnsi"/>
          <w:color w:val="auto"/>
          <w:spacing w:val="-4"/>
          <w:sz w:val="22"/>
          <w:szCs w:val="22"/>
        </w:rPr>
        <w:t xml:space="preserve">previously </w:t>
      </w:r>
      <w:r w:rsidRPr="00A741CB">
        <w:rPr>
          <w:rFonts w:asciiTheme="majorHAnsi" w:hAnsiTheme="majorHAnsi" w:cstheme="majorHAnsi"/>
          <w:color w:val="auto"/>
          <w:spacing w:val="-4"/>
          <w:sz w:val="22"/>
          <w:szCs w:val="22"/>
        </w:rPr>
        <w:t xml:space="preserve">authorised for issue </w:t>
      </w:r>
      <w:r w:rsidR="00626293" w:rsidRPr="00626293">
        <w:rPr>
          <w:rFonts w:asciiTheme="majorHAnsi" w:hAnsiTheme="majorHAnsi" w:cstheme="majorHAnsi"/>
          <w:color w:val="auto"/>
          <w:spacing w:val="-4"/>
          <w:sz w:val="22"/>
          <w:szCs w:val="22"/>
        </w:rPr>
        <w:t xml:space="preserve">by the authorised Board of Directors </w:t>
      </w:r>
      <w:r w:rsidRPr="00A741CB">
        <w:rPr>
          <w:rFonts w:asciiTheme="majorHAnsi" w:hAnsiTheme="majorHAnsi" w:cstheme="majorHAnsi"/>
          <w:color w:val="auto"/>
          <w:spacing w:val="-4"/>
          <w:sz w:val="22"/>
          <w:szCs w:val="22"/>
        </w:rPr>
        <w:t>on 24 October 2025.</w:t>
      </w:r>
      <w:r w:rsidR="001D7B66">
        <w:rPr>
          <w:rFonts w:asciiTheme="majorHAnsi" w:hAnsiTheme="majorHAnsi" w:cstheme="majorHAnsi"/>
          <w:color w:val="auto"/>
          <w:spacing w:val="-4"/>
          <w:sz w:val="22"/>
          <w:szCs w:val="22"/>
        </w:rPr>
        <w:t xml:space="preserve"> </w:t>
      </w:r>
      <w:r w:rsidR="001D7B66" w:rsidRPr="001D7B66">
        <w:rPr>
          <w:rFonts w:asciiTheme="majorHAnsi" w:hAnsiTheme="majorHAnsi" w:cstheme="majorHAnsi"/>
          <w:color w:val="auto"/>
          <w:spacing w:val="-4"/>
          <w:sz w:val="22"/>
          <w:szCs w:val="22"/>
        </w:rPr>
        <w:t xml:space="preserve">In addition to the </w:t>
      </w:r>
      <w:r w:rsidR="00626293" w:rsidRPr="00626293">
        <w:rPr>
          <w:rFonts w:asciiTheme="majorHAnsi" w:hAnsiTheme="majorHAnsi" w:cstheme="majorHAnsi"/>
          <w:color w:val="auto"/>
          <w:spacing w:val="-4"/>
          <w:sz w:val="22"/>
          <w:szCs w:val="22"/>
        </w:rPr>
        <w:t xml:space="preserve">matters described </w:t>
      </w:r>
      <w:r w:rsidR="001D7B66" w:rsidRPr="001D7B66">
        <w:rPr>
          <w:rFonts w:asciiTheme="majorHAnsi" w:hAnsiTheme="majorHAnsi" w:cstheme="majorHAnsi"/>
          <w:color w:val="auto"/>
          <w:spacing w:val="-4"/>
          <w:sz w:val="22"/>
          <w:szCs w:val="22"/>
        </w:rPr>
        <w:t xml:space="preserve">above, the </w:t>
      </w:r>
      <w:r w:rsidR="00626293" w:rsidRPr="00626293">
        <w:rPr>
          <w:rFonts w:asciiTheme="majorHAnsi" w:hAnsiTheme="majorHAnsi" w:cstheme="majorHAnsi"/>
          <w:color w:val="auto"/>
          <w:spacing w:val="-4"/>
          <w:sz w:val="22"/>
          <w:szCs w:val="22"/>
        </w:rPr>
        <w:t xml:space="preserve">independent </w:t>
      </w:r>
      <w:r w:rsidR="001D7B66" w:rsidRPr="001D7B66">
        <w:rPr>
          <w:rFonts w:asciiTheme="majorHAnsi" w:hAnsiTheme="majorHAnsi" w:cstheme="majorHAnsi"/>
          <w:color w:val="auto"/>
          <w:spacing w:val="-4"/>
          <w:sz w:val="22"/>
          <w:szCs w:val="22"/>
        </w:rPr>
        <w:t>auditor’s report also referred to a material uncertainty related to going concern</w:t>
      </w:r>
      <w:r w:rsidR="00626293" w:rsidRPr="00626293">
        <w:rPr>
          <w:rFonts w:asciiTheme="majorHAnsi" w:hAnsiTheme="majorHAnsi" w:cstheme="majorHAnsi"/>
          <w:color w:val="auto"/>
          <w:spacing w:val="-4"/>
          <w:sz w:val="22"/>
          <w:szCs w:val="22"/>
        </w:rPr>
        <w:t>. As</w:t>
      </w:r>
      <w:r w:rsidR="001D7B66" w:rsidRPr="001D7B66">
        <w:rPr>
          <w:rFonts w:asciiTheme="majorHAnsi" w:hAnsiTheme="majorHAnsi" w:cstheme="majorHAnsi"/>
          <w:color w:val="auto"/>
          <w:spacing w:val="-4"/>
          <w:sz w:val="22"/>
          <w:szCs w:val="22"/>
        </w:rPr>
        <w:t xml:space="preserve"> at 31 December 2024, the Group’s current liabilities exceeded its current assets by </w:t>
      </w:r>
      <w:r w:rsidR="00626293" w:rsidRPr="00626293">
        <w:rPr>
          <w:rFonts w:asciiTheme="majorHAnsi" w:hAnsiTheme="majorHAnsi" w:cstheme="majorHAnsi"/>
          <w:color w:val="auto"/>
          <w:spacing w:val="-4"/>
          <w:sz w:val="22"/>
          <w:szCs w:val="22"/>
        </w:rPr>
        <w:t>THB</w:t>
      </w:r>
      <w:r w:rsidR="001D7B66" w:rsidRPr="001D7B66">
        <w:rPr>
          <w:rFonts w:asciiTheme="majorHAnsi" w:hAnsiTheme="majorHAnsi" w:cstheme="majorHAnsi"/>
          <w:color w:val="auto"/>
          <w:spacing w:val="-4"/>
          <w:sz w:val="22"/>
          <w:szCs w:val="22"/>
        </w:rPr>
        <w:t xml:space="preserve"> 1,994 million (</w:t>
      </w:r>
      <w:r w:rsidR="007860EA">
        <w:rPr>
          <w:rFonts w:asciiTheme="majorHAnsi" w:hAnsiTheme="majorHAnsi" w:cstheme="majorHAnsi"/>
          <w:color w:val="auto"/>
          <w:spacing w:val="-4"/>
          <w:sz w:val="22"/>
          <w:szCs w:val="22"/>
        </w:rPr>
        <w:t>additi</w:t>
      </w:r>
      <w:r w:rsidR="00744812">
        <w:rPr>
          <w:rFonts w:asciiTheme="majorHAnsi" w:hAnsiTheme="majorHAnsi" w:cstheme="majorHAnsi"/>
          <w:color w:val="auto"/>
          <w:spacing w:val="-4"/>
          <w:sz w:val="22"/>
          <w:szCs w:val="22"/>
        </w:rPr>
        <w:t xml:space="preserve">onal </w:t>
      </w:r>
      <w:r w:rsidR="006678AC">
        <w:rPr>
          <w:rFonts w:asciiTheme="majorHAnsi" w:hAnsiTheme="majorHAnsi" w:cstheme="majorHAnsi"/>
          <w:color w:val="auto"/>
          <w:spacing w:val="-4"/>
          <w:sz w:val="22"/>
          <w:szCs w:val="22"/>
        </w:rPr>
        <w:t>restate</w:t>
      </w:r>
      <w:r w:rsidR="00096B60">
        <w:rPr>
          <w:rFonts w:asciiTheme="majorHAnsi" w:hAnsiTheme="majorHAnsi" w:cstheme="majorHAnsi"/>
          <w:color w:val="auto"/>
          <w:spacing w:val="-4"/>
          <w:sz w:val="22"/>
          <w:szCs w:val="22"/>
        </w:rPr>
        <w:t>ment</w:t>
      </w:r>
      <w:r w:rsidR="001D7B66" w:rsidRPr="001D7B66">
        <w:rPr>
          <w:rFonts w:asciiTheme="majorHAnsi" w:hAnsiTheme="majorHAnsi" w:cstheme="majorHAnsi"/>
          <w:color w:val="auto"/>
          <w:spacing w:val="-4"/>
          <w:sz w:val="22"/>
          <w:szCs w:val="22"/>
        </w:rPr>
        <w:t>) (</w:t>
      </w:r>
      <w:r w:rsidR="00626293" w:rsidRPr="00626293">
        <w:rPr>
          <w:rFonts w:asciiTheme="majorHAnsi" w:hAnsiTheme="majorHAnsi" w:cstheme="majorHAnsi"/>
          <w:color w:val="auto"/>
          <w:spacing w:val="-4"/>
          <w:sz w:val="22"/>
          <w:szCs w:val="22"/>
        </w:rPr>
        <w:t>separate</w:t>
      </w:r>
      <w:r w:rsidR="001D7B66" w:rsidRPr="001D7B66">
        <w:rPr>
          <w:rFonts w:asciiTheme="majorHAnsi" w:hAnsiTheme="majorHAnsi" w:cstheme="majorHAnsi"/>
          <w:color w:val="auto"/>
          <w:spacing w:val="-4"/>
          <w:sz w:val="22"/>
          <w:szCs w:val="22"/>
        </w:rPr>
        <w:t xml:space="preserve"> financial statements: </w:t>
      </w:r>
      <w:r w:rsidR="00626293" w:rsidRPr="00626293">
        <w:rPr>
          <w:rFonts w:asciiTheme="majorHAnsi" w:hAnsiTheme="majorHAnsi" w:cstheme="majorHAnsi"/>
          <w:color w:val="auto"/>
          <w:spacing w:val="-4"/>
          <w:sz w:val="22"/>
          <w:szCs w:val="22"/>
        </w:rPr>
        <w:t>THB</w:t>
      </w:r>
      <w:r w:rsidR="001D7B66" w:rsidRPr="001D7B66">
        <w:rPr>
          <w:rFonts w:asciiTheme="majorHAnsi" w:hAnsiTheme="majorHAnsi" w:cstheme="majorHAnsi"/>
          <w:color w:val="auto"/>
          <w:spacing w:val="-4"/>
          <w:sz w:val="22"/>
          <w:szCs w:val="22"/>
        </w:rPr>
        <w:t xml:space="preserve"> 1,786 million (</w:t>
      </w:r>
      <w:r w:rsidR="000F3D44" w:rsidRPr="001D7B66">
        <w:rPr>
          <w:rFonts w:asciiTheme="majorHAnsi" w:hAnsiTheme="majorHAnsi" w:cstheme="majorHAnsi"/>
          <w:color w:val="auto"/>
          <w:spacing w:val="-4"/>
          <w:sz w:val="22"/>
          <w:szCs w:val="22"/>
        </w:rPr>
        <w:t>restated</w:t>
      </w:r>
      <w:r w:rsidR="00626293" w:rsidRPr="00626293">
        <w:rPr>
          <w:rFonts w:asciiTheme="majorHAnsi" w:hAnsiTheme="majorHAnsi" w:cstheme="majorHAnsi"/>
          <w:color w:val="auto"/>
          <w:spacing w:val="-4"/>
          <w:sz w:val="22"/>
          <w:szCs w:val="22"/>
        </w:rPr>
        <w:t>)). These</w:t>
      </w:r>
      <w:r w:rsidR="001D7B66" w:rsidRPr="001D7B66">
        <w:rPr>
          <w:rFonts w:asciiTheme="majorHAnsi" w:hAnsiTheme="majorHAnsi" w:cstheme="majorHAnsi"/>
          <w:color w:val="auto"/>
          <w:spacing w:val="-4"/>
          <w:sz w:val="22"/>
          <w:szCs w:val="22"/>
        </w:rPr>
        <w:t xml:space="preserve"> current liabilities comprised trade and other payables, bank overdrafts and short-term borrowings, the current portion of long-term borrowings, and the </w:t>
      </w:r>
      <w:r w:rsidR="00626293" w:rsidRPr="00626293">
        <w:rPr>
          <w:rFonts w:asciiTheme="majorHAnsi" w:hAnsiTheme="majorHAnsi" w:cstheme="majorHAnsi"/>
          <w:color w:val="auto"/>
          <w:spacing w:val="-4"/>
          <w:sz w:val="22"/>
          <w:szCs w:val="22"/>
        </w:rPr>
        <w:t xml:space="preserve">current </w:t>
      </w:r>
      <w:r w:rsidR="001D7B66" w:rsidRPr="001D7B66">
        <w:rPr>
          <w:rFonts w:asciiTheme="majorHAnsi" w:hAnsiTheme="majorHAnsi" w:cstheme="majorHAnsi"/>
          <w:color w:val="auto"/>
          <w:spacing w:val="-4"/>
          <w:sz w:val="22"/>
          <w:szCs w:val="22"/>
        </w:rPr>
        <w:t>portion of debentures</w:t>
      </w:r>
      <w:r w:rsidR="00626293" w:rsidRPr="00626293">
        <w:rPr>
          <w:rFonts w:asciiTheme="majorHAnsi" w:hAnsiTheme="majorHAnsi" w:cstheme="majorHAnsi"/>
          <w:color w:val="auto"/>
          <w:spacing w:val="-4"/>
          <w:sz w:val="22"/>
          <w:szCs w:val="22"/>
        </w:rPr>
        <w:t>.</w:t>
      </w:r>
      <w:r w:rsidR="001D7B66" w:rsidRPr="001D7B66">
        <w:rPr>
          <w:rFonts w:asciiTheme="majorHAnsi" w:hAnsiTheme="majorHAnsi" w:cstheme="majorHAnsi"/>
          <w:color w:val="auto"/>
          <w:spacing w:val="-4"/>
          <w:sz w:val="22"/>
          <w:szCs w:val="22"/>
        </w:rPr>
        <w:t xml:space="preserve"> Management ha</w:t>
      </w:r>
      <w:r w:rsidR="00101121">
        <w:rPr>
          <w:rFonts w:asciiTheme="majorHAnsi" w:hAnsiTheme="majorHAnsi" w:cstheme="majorHAnsi"/>
          <w:color w:val="auto"/>
          <w:spacing w:val="-4"/>
          <w:sz w:val="22"/>
          <w:szCs w:val="22"/>
        </w:rPr>
        <w:t>d</w:t>
      </w:r>
      <w:r w:rsidR="001D7B66" w:rsidRPr="001D7B66">
        <w:rPr>
          <w:rFonts w:asciiTheme="majorHAnsi" w:hAnsiTheme="majorHAnsi" w:cstheme="majorHAnsi"/>
          <w:color w:val="auto"/>
          <w:spacing w:val="-4"/>
          <w:sz w:val="22"/>
          <w:szCs w:val="22"/>
        </w:rPr>
        <w:t xml:space="preserve"> plans to undertake various actions to </w:t>
      </w:r>
      <w:r w:rsidR="00626293" w:rsidRPr="00626293">
        <w:rPr>
          <w:rFonts w:asciiTheme="majorHAnsi" w:hAnsiTheme="majorHAnsi" w:cstheme="majorHAnsi"/>
          <w:color w:val="auto"/>
          <w:spacing w:val="-4"/>
          <w:sz w:val="22"/>
          <w:szCs w:val="22"/>
        </w:rPr>
        <w:t>enhance</w:t>
      </w:r>
      <w:r w:rsidR="001D7B66" w:rsidRPr="001D7B66">
        <w:rPr>
          <w:rFonts w:asciiTheme="majorHAnsi" w:hAnsiTheme="majorHAnsi" w:cstheme="majorHAnsi"/>
          <w:color w:val="auto"/>
          <w:spacing w:val="-4"/>
          <w:sz w:val="22"/>
          <w:szCs w:val="22"/>
        </w:rPr>
        <w:t xml:space="preserve"> the Group’s liquidity and cash flows, including negotiating extensions of repayment </w:t>
      </w:r>
      <w:r w:rsidR="001D7B66" w:rsidRPr="001D7B66">
        <w:rPr>
          <w:rFonts w:asciiTheme="majorHAnsi" w:hAnsiTheme="majorHAnsi" w:cstheme="majorHAnsi"/>
          <w:color w:val="auto"/>
          <w:spacing w:val="-4"/>
          <w:sz w:val="22"/>
          <w:szCs w:val="22"/>
        </w:rPr>
        <w:lastRenderedPageBreak/>
        <w:t xml:space="preserve">terms with creditors, seeking approval for the </w:t>
      </w:r>
      <w:r w:rsidR="00626293" w:rsidRPr="00626293">
        <w:rPr>
          <w:rFonts w:asciiTheme="majorHAnsi" w:hAnsiTheme="majorHAnsi" w:cstheme="majorHAnsi"/>
          <w:color w:val="auto"/>
          <w:spacing w:val="-4"/>
          <w:sz w:val="22"/>
          <w:szCs w:val="22"/>
        </w:rPr>
        <w:t>extension</w:t>
      </w:r>
      <w:r w:rsidR="001D7B66" w:rsidRPr="001D7B66">
        <w:rPr>
          <w:rFonts w:asciiTheme="majorHAnsi" w:hAnsiTheme="majorHAnsi" w:cstheme="majorHAnsi"/>
          <w:color w:val="auto"/>
          <w:spacing w:val="-4"/>
          <w:sz w:val="22"/>
          <w:szCs w:val="22"/>
        </w:rPr>
        <w:t xml:space="preserve"> of debenture repayments, and obtaining additional long-term </w:t>
      </w:r>
      <w:r w:rsidR="00626293" w:rsidRPr="00626293">
        <w:rPr>
          <w:rFonts w:asciiTheme="majorHAnsi" w:hAnsiTheme="majorHAnsi" w:cstheme="majorHAnsi"/>
          <w:color w:val="auto"/>
          <w:spacing w:val="-4"/>
          <w:sz w:val="22"/>
          <w:szCs w:val="22"/>
        </w:rPr>
        <w:t>borrowing</w:t>
      </w:r>
      <w:r w:rsidR="001D7B66" w:rsidRPr="001D7B66">
        <w:rPr>
          <w:rFonts w:asciiTheme="majorHAnsi" w:hAnsiTheme="majorHAnsi" w:cstheme="majorHAnsi"/>
          <w:color w:val="auto"/>
          <w:spacing w:val="-4"/>
          <w:sz w:val="22"/>
          <w:szCs w:val="22"/>
        </w:rPr>
        <w:t xml:space="preserve"> facilities from financial institutions.</w:t>
      </w:r>
    </w:p>
    <w:p w14:paraId="3D7637FE" w14:textId="218490D0" w:rsidR="0032538A" w:rsidRDefault="0054166A" w:rsidP="004B33E2">
      <w:pPr>
        <w:spacing w:line="240" w:lineRule="auto"/>
        <w:jc w:val="thaiDistribute"/>
        <w:rPr>
          <w:rFonts w:asciiTheme="majorHAnsi" w:hAnsiTheme="majorHAnsi" w:cstheme="majorHAnsi"/>
          <w:color w:val="auto"/>
          <w:spacing w:val="-4"/>
          <w:sz w:val="22"/>
          <w:szCs w:val="22"/>
        </w:rPr>
      </w:pPr>
      <w:r w:rsidRPr="0054166A">
        <w:rPr>
          <w:rFonts w:asciiTheme="majorHAnsi" w:hAnsiTheme="majorHAnsi" w:cstheme="majorHAnsi"/>
          <w:color w:val="auto"/>
          <w:spacing w:val="-4"/>
          <w:sz w:val="22"/>
          <w:szCs w:val="22"/>
        </w:rPr>
        <w:t xml:space="preserve">Furthermore, an additional Emphasis of Matter paragraph was included in relation to the correction of errors and the preparation of the </w:t>
      </w:r>
      <w:r w:rsidR="00BD2FEC" w:rsidRPr="00BD2FEC">
        <w:rPr>
          <w:rFonts w:asciiTheme="majorHAnsi" w:hAnsiTheme="majorHAnsi" w:cstheme="majorHAnsi"/>
          <w:color w:val="auto"/>
          <w:spacing w:val="-4"/>
          <w:sz w:val="22"/>
          <w:szCs w:val="22"/>
        </w:rPr>
        <w:t>additional restatement</w:t>
      </w:r>
      <w:r w:rsidRPr="0054166A">
        <w:rPr>
          <w:rFonts w:asciiTheme="majorHAnsi" w:hAnsiTheme="majorHAnsi" w:cstheme="majorHAnsi"/>
          <w:color w:val="auto"/>
          <w:spacing w:val="-4"/>
          <w:sz w:val="22"/>
          <w:szCs w:val="22"/>
        </w:rPr>
        <w:t xml:space="preserve"> financial statements in </w:t>
      </w:r>
      <w:r w:rsidR="00AB31B8">
        <w:rPr>
          <w:rFonts w:asciiTheme="majorHAnsi" w:hAnsiTheme="majorHAnsi" w:cstheme="majorHAnsi"/>
          <w:color w:val="auto"/>
          <w:spacing w:val="-4"/>
          <w:sz w:val="22"/>
          <w:szCs w:val="22"/>
        </w:rPr>
        <w:t>order</w:t>
      </w:r>
      <w:r w:rsidRPr="0054166A">
        <w:rPr>
          <w:rFonts w:asciiTheme="majorHAnsi" w:hAnsiTheme="majorHAnsi" w:cstheme="majorHAnsi"/>
          <w:color w:val="auto"/>
          <w:spacing w:val="-4"/>
          <w:sz w:val="22"/>
          <w:szCs w:val="22"/>
        </w:rPr>
        <w:t xml:space="preserve"> </w:t>
      </w:r>
      <w:r w:rsidR="00626293" w:rsidRPr="00626293">
        <w:rPr>
          <w:rFonts w:asciiTheme="majorHAnsi" w:hAnsiTheme="majorHAnsi" w:cstheme="majorHAnsi"/>
          <w:color w:val="auto"/>
          <w:spacing w:val="-4"/>
          <w:sz w:val="22"/>
          <w:szCs w:val="22"/>
        </w:rPr>
        <w:t>to comply with the directives</w:t>
      </w:r>
      <w:r w:rsidRPr="0054166A">
        <w:rPr>
          <w:rFonts w:asciiTheme="majorHAnsi" w:hAnsiTheme="majorHAnsi" w:cstheme="majorHAnsi"/>
          <w:color w:val="auto"/>
          <w:spacing w:val="-4"/>
          <w:sz w:val="22"/>
          <w:szCs w:val="22"/>
        </w:rPr>
        <w:t xml:space="preserve"> of the Securities and Exchange Commission. </w:t>
      </w:r>
      <w:r w:rsidR="00626293" w:rsidRPr="00626293">
        <w:rPr>
          <w:rFonts w:asciiTheme="majorHAnsi" w:hAnsiTheme="majorHAnsi" w:cstheme="majorHAnsi"/>
          <w:color w:val="auto"/>
          <w:spacing w:val="-4"/>
          <w:sz w:val="22"/>
          <w:szCs w:val="22"/>
        </w:rPr>
        <w:t>The related notes to the financial statements were revised accordingly. In addition, an Other Matter paragraph was included to refer to the fact</w:t>
      </w:r>
      <w:r w:rsidR="006B1586" w:rsidRPr="006B1586">
        <w:rPr>
          <w:rFonts w:asciiTheme="majorHAnsi" w:hAnsiTheme="majorHAnsi" w:cstheme="majorHAnsi"/>
          <w:color w:val="auto"/>
          <w:spacing w:val="-4"/>
          <w:sz w:val="22"/>
          <w:szCs w:val="22"/>
        </w:rPr>
        <w:t xml:space="preserve"> that the auditor had previously </w:t>
      </w:r>
      <w:r w:rsidR="00626293" w:rsidRPr="00626293">
        <w:rPr>
          <w:rFonts w:asciiTheme="majorHAnsi" w:hAnsiTheme="majorHAnsi" w:cstheme="majorHAnsi"/>
          <w:color w:val="auto"/>
          <w:spacing w:val="-4"/>
          <w:sz w:val="22"/>
          <w:szCs w:val="22"/>
        </w:rPr>
        <w:t>reported</w:t>
      </w:r>
      <w:r w:rsidR="006B1586" w:rsidRPr="006B1586">
        <w:rPr>
          <w:rFonts w:asciiTheme="majorHAnsi" w:hAnsiTheme="majorHAnsi" w:cstheme="majorHAnsi"/>
          <w:color w:val="auto"/>
          <w:spacing w:val="-4"/>
          <w:sz w:val="22"/>
          <w:szCs w:val="22"/>
        </w:rPr>
        <w:t xml:space="preserve"> on the </w:t>
      </w:r>
      <w:r w:rsidR="00626293" w:rsidRPr="00626293">
        <w:rPr>
          <w:rFonts w:asciiTheme="majorHAnsi" w:hAnsiTheme="majorHAnsi" w:cstheme="majorHAnsi"/>
          <w:color w:val="auto"/>
          <w:spacing w:val="-4"/>
          <w:sz w:val="22"/>
          <w:szCs w:val="22"/>
        </w:rPr>
        <w:t xml:space="preserve">consolidated and separate </w:t>
      </w:r>
      <w:r w:rsidR="006B1586" w:rsidRPr="006B1586">
        <w:rPr>
          <w:rFonts w:asciiTheme="majorHAnsi" w:hAnsiTheme="majorHAnsi" w:cstheme="majorHAnsi"/>
          <w:color w:val="auto"/>
          <w:spacing w:val="-4"/>
          <w:sz w:val="22"/>
          <w:szCs w:val="22"/>
        </w:rPr>
        <w:t>financial statements of NR Instant Produce Public Company Limited and its subsidiaries for the year ended 31 December 2024 (</w:t>
      </w:r>
      <w:r w:rsidR="0043644B">
        <w:rPr>
          <w:rFonts w:asciiTheme="majorHAnsi" w:hAnsiTheme="majorHAnsi" w:cs="Browallia New"/>
          <w:color w:val="auto"/>
          <w:spacing w:val="-4"/>
          <w:sz w:val="22"/>
          <w:szCs w:val="28"/>
          <w:lang w:bidi="th-TH"/>
        </w:rPr>
        <w:t>before</w:t>
      </w:r>
      <w:r w:rsidR="006B1586">
        <w:rPr>
          <w:rFonts w:asciiTheme="majorHAnsi" w:hAnsiTheme="majorHAnsi" w:cs="Browallia New"/>
          <w:color w:val="auto"/>
          <w:spacing w:val="-4"/>
          <w:sz w:val="22"/>
          <w:szCs w:val="28"/>
          <w:lang w:bidi="th-TH"/>
        </w:rPr>
        <w:t xml:space="preserve"> restate</w:t>
      </w:r>
      <w:r w:rsidR="00B70AA2">
        <w:rPr>
          <w:rFonts w:asciiTheme="majorHAnsi" w:hAnsiTheme="majorHAnsi" w:cs="Browallia New"/>
          <w:color w:val="auto"/>
          <w:spacing w:val="-4"/>
          <w:sz w:val="22"/>
          <w:szCs w:val="28"/>
          <w:lang w:bidi="th-TH"/>
        </w:rPr>
        <w:t>ment</w:t>
      </w:r>
      <w:r w:rsidR="00626293" w:rsidRPr="00626293">
        <w:rPr>
          <w:rFonts w:asciiTheme="majorHAnsi" w:hAnsiTheme="majorHAnsi" w:cstheme="majorHAnsi"/>
          <w:color w:val="auto"/>
          <w:spacing w:val="-4"/>
          <w:sz w:val="22"/>
          <w:szCs w:val="22"/>
        </w:rPr>
        <w:t>),</w:t>
      </w:r>
      <w:r w:rsidR="006B1586" w:rsidRPr="006B1586">
        <w:rPr>
          <w:rFonts w:asciiTheme="majorHAnsi" w:hAnsiTheme="majorHAnsi" w:cstheme="majorHAnsi"/>
          <w:color w:val="auto"/>
          <w:spacing w:val="-4"/>
          <w:sz w:val="22"/>
          <w:szCs w:val="22"/>
        </w:rPr>
        <w:t xml:space="preserve"> in </w:t>
      </w:r>
      <w:r w:rsidR="00626293" w:rsidRPr="00626293">
        <w:rPr>
          <w:rFonts w:asciiTheme="majorHAnsi" w:hAnsiTheme="majorHAnsi" w:cstheme="majorHAnsi"/>
          <w:color w:val="auto"/>
          <w:spacing w:val="-4"/>
          <w:sz w:val="22"/>
          <w:szCs w:val="22"/>
        </w:rPr>
        <w:t>a</w:t>
      </w:r>
      <w:r w:rsidR="006B1586" w:rsidRPr="006B1586">
        <w:rPr>
          <w:rFonts w:asciiTheme="majorHAnsi" w:hAnsiTheme="majorHAnsi" w:cstheme="majorHAnsi"/>
          <w:color w:val="auto"/>
          <w:spacing w:val="-4"/>
          <w:sz w:val="22"/>
          <w:szCs w:val="22"/>
        </w:rPr>
        <w:t xml:space="preserve"> report dated 28 February 2025 (except for adjustments relating to unallocated business acquisition costs, investments in subsidiaries, loans to subsidiaries and accrued interest, and inventory, </w:t>
      </w:r>
      <w:r w:rsidR="00626293" w:rsidRPr="00626293">
        <w:rPr>
          <w:rFonts w:asciiTheme="majorHAnsi" w:hAnsiTheme="majorHAnsi" w:cstheme="majorHAnsi"/>
          <w:color w:val="auto"/>
          <w:spacing w:val="-4"/>
          <w:sz w:val="22"/>
          <w:szCs w:val="22"/>
        </w:rPr>
        <w:t>including</w:t>
      </w:r>
      <w:r w:rsidR="006B1586" w:rsidRPr="006B1586">
        <w:rPr>
          <w:rFonts w:asciiTheme="majorHAnsi" w:hAnsiTheme="majorHAnsi" w:cstheme="majorHAnsi"/>
          <w:color w:val="auto"/>
          <w:spacing w:val="-4"/>
          <w:sz w:val="22"/>
          <w:szCs w:val="22"/>
        </w:rPr>
        <w:t xml:space="preserve"> the reading and consideration of other information</w:t>
      </w:r>
      <w:r w:rsidR="00626293" w:rsidRPr="00626293">
        <w:rPr>
          <w:rFonts w:asciiTheme="majorHAnsi" w:hAnsiTheme="majorHAnsi" w:cstheme="majorHAnsi"/>
          <w:color w:val="auto"/>
          <w:spacing w:val="-4"/>
          <w:sz w:val="22"/>
          <w:szCs w:val="22"/>
        </w:rPr>
        <w:t xml:space="preserve"> related thereto, dated</w:t>
      </w:r>
      <w:r w:rsidR="006B1586" w:rsidRPr="006B1586">
        <w:rPr>
          <w:rFonts w:asciiTheme="majorHAnsi" w:hAnsiTheme="majorHAnsi" w:cstheme="majorHAnsi"/>
          <w:color w:val="auto"/>
          <w:spacing w:val="-4"/>
          <w:sz w:val="22"/>
          <w:szCs w:val="22"/>
        </w:rPr>
        <w:t xml:space="preserve"> 24 October 2025), in which a qualified opinion was expressed as </w:t>
      </w:r>
      <w:r w:rsidR="00626293" w:rsidRPr="00626293">
        <w:rPr>
          <w:rFonts w:asciiTheme="majorHAnsi" w:hAnsiTheme="majorHAnsi" w:cstheme="majorHAnsi"/>
          <w:color w:val="auto"/>
          <w:spacing w:val="-4"/>
          <w:sz w:val="22"/>
          <w:szCs w:val="22"/>
        </w:rPr>
        <w:t xml:space="preserve">explained </w:t>
      </w:r>
      <w:r w:rsidR="006B1586" w:rsidRPr="006B1586">
        <w:rPr>
          <w:rFonts w:asciiTheme="majorHAnsi" w:hAnsiTheme="majorHAnsi" w:cstheme="majorHAnsi"/>
          <w:color w:val="auto"/>
          <w:spacing w:val="-4"/>
          <w:sz w:val="22"/>
          <w:szCs w:val="22"/>
        </w:rPr>
        <w:t>in the Basis for Qualified Opinion paragraph.</w:t>
      </w:r>
      <w:r w:rsidR="00872FFF">
        <w:rPr>
          <w:rFonts w:asciiTheme="majorHAnsi" w:hAnsiTheme="majorHAnsi" w:cstheme="majorHAnsi"/>
          <w:color w:val="auto"/>
          <w:spacing w:val="-4"/>
          <w:sz w:val="22"/>
          <w:szCs w:val="22"/>
        </w:rPr>
        <w:t xml:space="preserve"> </w:t>
      </w:r>
      <w:r w:rsidR="00872FFF" w:rsidRPr="00872FFF">
        <w:rPr>
          <w:rFonts w:asciiTheme="majorHAnsi" w:hAnsiTheme="majorHAnsi" w:cstheme="majorHAnsi"/>
          <w:color w:val="auto"/>
          <w:spacing w:val="-4"/>
          <w:sz w:val="22"/>
          <w:szCs w:val="22"/>
        </w:rPr>
        <w:t xml:space="preserve">Subsequently, the Group made </w:t>
      </w:r>
      <w:r w:rsidR="00626293" w:rsidRPr="00626293">
        <w:rPr>
          <w:rFonts w:asciiTheme="majorHAnsi" w:hAnsiTheme="majorHAnsi" w:cstheme="majorHAnsi"/>
          <w:color w:val="auto"/>
          <w:spacing w:val="-4"/>
          <w:sz w:val="22"/>
          <w:szCs w:val="22"/>
        </w:rPr>
        <w:t>additional</w:t>
      </w:r>
      <w:r w:rsidR="00872FFF" w:rsidRPr="00872FFF">
        <w:rPr>
          <w:rFonts w:asciiTheme="majorHAnsi" w:hAnsiTheme="majorHAnsi" w:cstheme="majorHAnsi"/>
          <w:color w:val="auto"/>
          <w:spacing w:val="-4"/>
          <w:sz w:val="22"/>
          <w:szCs w:val="22"/>
        </w:rPr>
        <w:t xml:space="preserve"> adjustments relating to inventory and prepared and presented the financial statements for the year ended 31 December 2024 (</w:t>
      </w:r>
      <w:r w:rsidR="00ED2E34">
        <w:rPr>
          <w:rFonts w:asciiTheme="majorHAnsi" w:hAnsiTheme="majorHAnsi" w:cstheme="majorHAnsi"/>
          <w:color w:val="auto"/>
          <w:spacing w:val="-4"/>
          <w:sz w:val="22"/>
          <w:szCs w:val="22"/>
        </w:rPr>
        <w:t xml:space="preserve">additional </w:t>
      </w:r>
      <w:r w:rsidR="00546AE5" w:rsidRPr="00546AE5">
        <w:rPr>
          <w:rFonts w:asciiTheme="majorHAnsi" w:hAnsiTheme="majorHAnsi" w:cstheme="majorHAnsi"/>
          <w:color w:val="auto"/>
          <w:spacing w:val="-4"/>
          <w:sz w:val="22"/>
          <w:szCs w:val="22"/>
        </w:rPr>
        <w:t>restatement</w:t>
      </w:r>
      <w:r w:rsidR="00626293" w:rsidRPr="00626293">
        <w:rPr>
          <w:rFonts w:asciiTheme="majorHAnsi" w:hAnsiTheme="majorHAnsi" w:cstheme="majorHAnsi"/>
          <w:color w:val="auto"/>
          <w:spacing w:val="-4"/>
          <w:sz w:val="22"/>
          <w:szCs w:val="22"/>
        </w:rPr>
        <w:t>). As a result</w:t>
      </w:r>
      <w:r w:rsidR="00872FFF" w:rsidRPr="00872FFF">
        <w:rPr>
          <w:rFonts w:asciiTheme="majorHAnsi" w:hAnsiTheme="majorHAnsi" w:cstheme="majorHAnsi"/>
          <w:color w:val="auto"/>
          <w:spacing w:val="-4"/>
          <w:sz w:val="22"/>
          <w:szCs w:val="22"/>
        </w:rPr>
        <w:t xml:space="preserve">, the auditor’s report differs from the previous report </w:t>
      </w:r>
      <w:r w:rsidR="00626293" w:rsidRPr="00626293">
        <w:rPr>
          <w:rFonts w:asciiTheme="majorHAnsi" w:hAnsiTheme="majorHAnsi" w:cstheme="majorHAnsi"/>
          <w:color w:val="auto"/>
          <w:spacing w:val="-4"/>
          <w:sz w:val="22"/>
          <w:szCs w:val="22"/>
        </w:rPr>
        <w:t>by expressing</w:t>
      </w:r>
      <w:r w:rsidR="00872FFF" w:rsidRPr="00872FFF">
        <w:rPr>
          <w:rFonts w:asciiTheme="majorHAnsi" w:hAnsiTheme="majorHAnsi" w:cstheme="majorHAnsi"/>
          <w:color w:val="auto"/>
          <w:spacing w:val="-4"/>
          <w:sz w:val="22"/>
          <w:szCs w:val="22"/>
        </w:rPr>
        <w:t xml:space="preserve"> an unqualified opinion in respect of inventory, cost of sales and other related accounts. The </w:t>
      </w:r>
      <w:r w:rsidR="00626293" w:rsidRPr="00626293">
        <w:rPr>
          <w:rFonts w:asciiTheme="majorHAnsi" w:hAnsiTheme="majorHAnsi" w:cstheme="majorHAnsi"/>
          <w:color w:val="auto"/>
          <w:spacing w:val="-4"/>
          <w:sz w:val="22"/>
          <w:szCs w:val="22"/>
        </w:rPr>
        <w:t>report</w:t>
      </w:r>
      <w:r w:rsidR="00872FFF" w:rsidRPr="00872FFF">
        <w:rPr>
          <w:rFonts w:asciiTheme="majorHAnsi" w:hAnsiTheme="majorHAnsi" w:cstheme="majorHAnsi"/>
          <w:color w:val="auto"/>
          <w:spacing w:val="-4"/>
          <w:sz w:val="22"/>
          <w:szCs w:val="22"/>
        </w:rPr>
        <w:t xml:space="preserve"> also disclosed the </w:t>
      </w:r>
      <w:r w:rsidR="00626293" w:rsidRPr="00626293">
        <w:rPr>
          <w:rFonts w:asciiTheme="majorHAnsi" w:hAnsiTheme="majorHAnsi" w:cstheme="majorHAnsi"/>
          <w:color w:val="auto"/>
          <w:spacing w:val="-4"/>
          <w:sz w:val="22"/>
          <w:szCs w:val="22"/>
        </w:rPr>
        <w:t xml:space="preserve">quantified financial </w:t>
      </w:r>
      <w:r w:rsidR="00872FFF" w:rsidRPr="00872FFF">
        <w:rPr>
          <w:rFonts w:asciiTheme="majorHAnsi" w:hAnsiTheme="majorHAnsi" w:cstheme="majorHAnsi"/>
          <w:color w:val="auto"/>
          <w:spacing w:val="-4"/>
          <w:sz w:val="22"/>
          <w:szCs w:val="22"/>
        </w:rPr>
        <w:t xml:space="preserve">impact </w:t>
      </w:r>
      <w:r w:rsidR="00626293" w:rsidRPr="00626293">
        <w:rPr>
          <w:rFonts w:asciiTheme="majorHAnsi" w:hAnsiTheme="majorHAnsi" w:cstheme="majorHAnsi"/>
          <w:color w:val="auto"/>
          <w:spacing w:val="-4"/>
          <w:sz w:val="22"/>
          <w:szCs w:val="22"/>
        </w:rPr>
        <w:t xml:space="preserve">of the </w:t>
      </w:r>
      <w:r w:rsidR="00872FFF" w:rsidRPr="00872FFF">
        <w:rPr>
          <w:rFonts w:asciiTheme="majorHAnsi" w:hAnsiTheme="majorHAnsi" w:cstheme="majorHAnsi"/>
          <w:color w:val="auto"/>
          <w:spacing w:val="-4"/>
          <w:sz w:val="22"/>
          <w:szCs w:val="22"/>
        </w:rPr>
        <w:t xml:space="preserve">absence of further inventory adjustments </w:t>
      </w:r>
      <w:r w:rsidR="00626293" w:rsidRPr="00626293">
        <w:rPr>
          <w:rFonts w:asciiTheme="majorHAnsi" w:hAnsiTheme="majorHAnsi" w:cstheme="majorHAnsi"/>
          <w:color w:val="auto"/>
          <w:spacing w:val="-4"/>
          <w:sz w:val="22"/>
          <w:szCs w:val="22"/>
        </w:rPr>
        <w:t xml:space="preserve">previously </w:t>
      </w:r>
      <w:r w:rsidR="00872FFF" w:rsidRPr="00872FFF">
        <w:rPr>
          <w:rFonts w:asciiTheme="majorHAnsi" w:hAnsiTheme="majorHAnsi" w:cstheme="majorHAnsi"/>
          <w:color w:val="auto"/>
          <w:spacing w:val="-4"/>
          <w:sz w:val="22"/>
          <w:szCs w:val="22"/>
        </w:rPr>
        <w:t xml:space="preserve">included in the annual report and </w:t>
      </w:r>
      <w:r w:rsidR="00626293" w:rsidRPr="00626293">
        <w:rPr>
          <w:rFonts w:asciiTheme="majorHAnsi" w:hAnsiTheme="majorHAnsi" w:cstheme="majorHAnsi"/>
          <w:color w:val="auto"/>
          <w:spacing w:val="-4"/>
          <w:sz w:val="22"/>
          <w:szCs w:val="22"/>
        </w:rPr>
        <w:t xml:space="preserve">included </w:t>
      </w:r>
      <w:r w:rsidR="00872FFF" w:rsidRPr="00872FFF">
        <w:rPr>
          <w:rFonts w:asciiTheme="majorHAnsi" w:hAnsiTheme="majorHAnsi" w:cstheme="majorHAnsi"/>
          <w:color w:val="auto"/>
          <w:spacing w:val="-4"/>
          <w:sz w:val="22"/>
          <w:szCs w:val="22"/>
        </w:rPr>
        <w:t xml:space="preserve">an additional report date </w:t>
      </w:r>
      <w:r w:rsidR="00626293" w:rsidRPr="00626293">
        <w:rPr>
          <w:rFonts w:asciiTheme="majorHAnsi" w:hAnsiTheme="majorHAnsi" w:cstheme="majorHAnsi"/>
          <w:color w:val="auto"/>
          <w:spacing w:val="-4"/>
          <w:sz w:val="22"/>
          <w:szCs w:val="22"/>
        </w:rPr>
        <w:t xml:space="preserve">of </w:t>
      </w:r>
      <w:r w:rsidR="00872FFF" w:rsidRPr="00872FFF">
        <w:rPr>
          <w:rFonts w:asciiTheme="majorHAnsi" w:hAnsiTheme="majorHAnsi" w:cstheme="majorHAnsi"/>
          <w:color w:val="auto"/>
          <w:spacing w:val="-4"/>
          <w:sz w:val="22"/>
          <w:szCs w:val="22"/>
        </w:rPr>
        <w:t>15 December 2025</w:t>
      </w:r>
      <w:r w:rsidR="00626293" w:rsidRPr="00626293">
        <w:rPr>
          <w:rFonts w:asciiTheme="majorHAnsi" w:hAnsiTheme="majorHAnsi" w:cstheme="majorHAnsi"/>
          <w:color w:val="auto"/>
          <w:spacing w:val="-4"/>
          <w:sz w:val="22"/>
          <w:szCs w:val="22"/>
        </w:rPr>
        <w:t>. Audit</w:t>
      </w:r>
      <w:r w:rsidR="00872FFF" w:rsidRPr="00872FFF">
        <w:rPr>
          <w:rFonts w:asciiTheme="majorHAnsi" w:hAnsiTheme="majorHAnsi" w:cstheme="majorHAnsi"/>
          <w:color w:val="auto"/>
          <w:spacing w:val="-4"/>
          <w:sz w:val="22"/>
          <w:szCs w:val="22"/>
        </w:rPr>
        <w:t xml:space="preserve"> procedures performed </w:t>
      </w:r>
      <w:r w:rsidR="00626293" w:rsidRPr="00626293">
        <w:rPr>
          <w:rFonts w:asciiTheme="majorHAnsi" w:hAnsiTheme="majorHAnsi" w:cstheme="majorHAnsi"/>
          <w:color w:val="auto"/>
          <w:spacing w:val="-4"/>
          <w:sz w:val="22"/>
          <w:szCs w:val="22"/>
        </w:rPr>
        <w:t xml:space="preserve">subsequent to the previously reported date and </w:t>
      </w:r>
      <w:r w:rsidR="00872FFF" w:rsidRPr="00872FFF">
        <w:rPr>
          <w:rFonts w:asciiTheme="majorHAnsi" w:hAnsiTheme="majorHAnsi" w:cstheme="majorHAnsi"/>
          <w:color w:val="auto"/>
          <w:spacing w:val="-4"/>
          <w:sz w:val="22"/>
          <w:szCs w:val="22"/>
        </w:rPr>
        <w:t xml:space="preserve">up to </w:t>
      </w:r>
      <w:r w:rsidR="00626293" w:rsidRPr="00626293">
        <w:rPr>
          <w:rFonts w:asciiTheme="majorHAnsi" w:hAnsiTheme="majorHAnsi" w:cstheme="majorHAnsi"/>
          <w:color w:val="auto"/>
          <w:spacing w:val="-4"/>
          <w:sz w:val="22"/>
          <w:szCs w:val="22"/>
        </w:rPr>
        <w:t>the</w:t>
      </w:r>
      <w:r w:rsidR="00872FFF" w:rsidRPr="00872FFF">
        <w:rPr>
          <w:rFonts w:asciiTheme="majorHAnsi" w:hAnsiTheme="majorHAnsi" w:cstheme="majorHAnsi"/>
          <w:color w:val="auto"/>
          <w:spacing w:val="-4"/>
          <w:sz w:val="22"/>
          <w:szCs w:val="22"/>
        </w:rPr>
        <w:t xml:space="preserve"> additional report date were limited solely to the consideration of the adjustments to the financial statements relating to unallocated business acquisition costs, investments in subsidiaries, loans to subsidiaries and accrued interest, and inventory, </w:t>
      </w:r>
      <w:r w:rsidR="00626293" w:rsidRPr="00626293">
        <w:rPr>
          <w:rFonts w:asciiTheme="majorHAnsi" w:hAnsiTheme="majorHAnsi" w:cstheme="majorHAnsi"/>
          <w:color w:val="auto"/>
          <w:spacing w:val="-4"/>
          <w:sz w:val="22"/>
          <w:szCs w:val="22"/>
        </w:rPr>
        <w:t>including</w:t>
      </w:r>
      <w:r w:rsidR="00872FFF" w:rsidRPr="00872FFF">
        <w:rPr>
          <w:rFonts w:asciiTheme="majorHAnsi" w:hAnsiTheme="majorHAnsi" w:cstheme="majorHAnsi"/>
          <w:color w:val="auto"/>
          <w:spacing w:val="-4"/>
          <w:sz w:val="22"/>
          <w:szCs w:val="22"/>
        </w:rPr>
        <w:t xml:space="preserve"> the reading and consideration of other information</w:t>
      </w:r>
      <w:r w:rsidR="00626293" w:rsidRPr="00626293">
        <w:rPr>
          <w:rFonts w:asciiTheme="majorHAnsi" w:hAnsiTheme="majorHAnsi" w:cstheme="majorHAnsi"/>
          <w:color w:val="auto"/>
          <w:spacing w:val="-4"/>
          <w:sz w:val="22"/>
          <w:szCs w:val="22"/>
        </w:rPr>
        <w:t xml:space="preserve"> related thereto</w:t>
      </w:r>
      <w:r w:rsidR="00872FFF" w:rsidRPr="00872FFF">
        <w:rPr>
          <w:rFonts w:asciiTheme="majorHAnsi" w:hAnsiTheme="majorHAnsi" w:cstheme="majorHAnsi"/>
          <w:color w:val="auto"/>
          <w:spacing w:val="-4"/>
          <w:sz w:val="22"/>
          <w:szCs w:val="22"/>
        </w:rPr>
        <w:t>.</w:t>
      </w:r>
    </w:p>
    <w:p w14:paraId="1B9BC803" w14:textId="77777777" w:rsidR="0032538A" w:rsidRDefault="0032538A" w:rsidP="004B33E2">
      <w:pPr>
        <w:spacing w:line="240" w:lineRule="auto"/>
        <w:jc w:val="thaiDistribute"/>
        <w:rPr>
          <w:rFonts w:asciiTheme="majorHAnsi" w:hAnsiTheme="majorHAnsi" w:cstheme="majorHAnsi"/>
          <w:color w:val="auto"/>
          <w:spacing w:val="-4"/>
          <w:sz w:val="22"/>
          <w:szCs w:val="22"/>
        </w:rPr>
      </w:pPr>
    </w:p>
    <w:p w14:paraId="146A8509" w14:textId="01794D93" w:rsidR="0032538A" w:rsidRPr="004B33E2" w:rsidRDefault="009C051B" w:rsidP="004B33E2">
      <w:pPr>
        <w:spacing w:line="240" w:lineRule="auto"/>
        <w:jc w:val="thaiDistribute"/>
        <w:rPr>
          <w:rFonts w:asciiTheme="majorHAnsi" w:hAnsiTheme="majorHAnsi" w:cstheme="majorHAnsi"/>
          <w:color w:val="auto"/>
          <w:spacing w:val="-4"/>
          <w:sz w:val="22"/>
          <w:szCs w:val="22"/>
        </w:rPr>
        <w:sectPr w:rsidR="0032538A" w:rsidRPr="004B33E2" w:rsidSect="00155EC3">
          <w:footerReference w:type="even" r:id="rId16"/>
          <w:footerReference w:type="default" r:id="rId17"/>
          <w:headerReference w:type="first" r:id="rId18"/>
          <w:footerReference w:type="first" r:id="rId19"/>
          <w:pgSz w:w="11900" w:h="16840" w:code="9"/>
          <w:pgMar w:top="2736" w:right="1080" w:bottom="1080" w:left="1728" w:header="720" w:footer="576" w:gutter="0"/>
          <w:pgNumType w:start="2"/>
          <w:cols w:space="708"/>
          <w:titlePg/>
          <w:docGrid w:linePitch="326"/>
        </w:sectPr>
      </w:pPr>
      <w:r w:rsidRPr="009C051B">
        <w:rPr>
          <w:rFonts w:asciiTheme="majorHAnsi" w:hAnsiTheme="majorHAnsi" w:cstheme="majorHAnsi"/>
          <w:color w:val="auto"/>
          <w:spacing w:val="-4"/>
          <w:sz w:val="22"/>
          <w:szCs w:val="22"/>
        </w:rPr>
        <w:t xml:space="preserve">The consolidated </w:t>
      </w:r>
      <w:r w:rsidR="00B74435">
        <w:rPr>
          <w:rFonts w:asciiTheme="majorHAnsi" w:hAnsiTheme="majorHAnsi" w:cstheme="majorHAnsi"/>
          <w:color w:val="auto"/>
          <w:spacing w:val="-4"/>
          <w:sz w:val="22"/>
          <w:szCs w:val="22"/>
        </w:rPr>
        <w:t xml:space="preserve">and separate </w:t>
      </w:r>
      <w:r w:rsidRPr="009C051B">
        <w:rPr>
          <w:rFonts w:asciiTheme="majorHAnsi" w:hAnsiTheme="majorHAnsi" w:cstheme="majorHAnsi"/>
          <w:color w:val="auto"/>
          <w:spacing w:val="-4"/>
          <w:sz w:val="22"/>
          <w:szCs w:val="22"/>
        </w:rPr>
        <w:t xml:space="preserve">statement </w:t>
      </w:r>
      <w:r w:rsidR="007A61FA">
        <w:rPr>
          <w:rFonts w:asciiTheme="majorHAnsi" w:hAnsiTheme="majorHAnsi" w:cstheme="majorHAnsi"/>
          <w:color w:val="auto"/>
          <w:spacing w:val="-4"/>
          <w:sz w:val="22"/>
          <w:szCs w:val="22"/>
        </w:rPr>
        <w:t xml:space="preserve">of </w:t>
      </w:r>
      <w:r w:rsidRPr="009C051B">
        <w:rPr>
          <w:rFonts w:asciiTheme="majorHAnsi" w:hAnsiTheme="majorHAnsi" w:cstheme="majorHAnsi"/>
          <w:color w:val="auto"/>
          <w:spacing w:val="-4"/>
          <w:sz w:val="22"/>
          <w:szCs w:val="22"/>
        </w:rPr>
        <w:t>comprehensive income</w:t>
      </w:r>
      <w:r w:rsidR="007A61FA">
        <w:rPr>
          <w:rFonts w:asciiTheme="majorHAnsi" w:hAnsiTheme="majorHAnsi" w:cstheme="majorHAnsi"/>
          <w:color w:val="auto"/>
          <w:spacing w:val="-4"/>
          <w:sz w:val="22"/>
          <w:szCs w:val="22"/>
        </w:rPr>
        <w:t>,</w:t>
      </w:r>
      <w:r w:rsidRPr="009C051B">
        <w:rPr>
          <w:rFonts w:asciiTheme="majorHAnsi" w:hAnsiTheme="majorHAnsi" w:cstheme="majorHAnsi"/>
          <w:color w:val="auto"/>
          <w:spacing w:val="-4"/>
          <w:sz w:val="22"/>
          <w:szCs w:val="22"/>
        </w:rPr>
        <w:t xml:space="preserve"> changes in equity, and cash flows for the three-month period ended 31 March 2024 of NR Instant Produce Public Company Limited and its subsidiaries (</w:t>
      </w:r>
      <w:r w:rsidR="00447DC9">
        <w:rPr>
          <w:rFonts w:asciiTheme="majorHAnsi" w:hAnsiTheme="majorHAnsi" w:cstheme="majorHAnsi"/>
          <w:color w:val="auto"/>
          <w:spacing w:val="-4"/>
          <w:sz w:val="22"/>
          <w:szCs w:val="22"/>
        </w:rPr>
        <w:t>before restated</w:t>
      </w:r>
      <w:r w:rsidRPr="009C051B">
        <w:rPr>
          <w:rFonts w:asciiTheme="majorHAnsi" w:hAnsiTheme="majorHAnsi" w:cstheme="majorHAnsi"/>
          <w:color w:val="auto"/>
          <w:spacing w:val="-4"/>
          <w:sz w:val="22"/>
          <w:szCs w:val="22"/>
        </w:rPr>
        <w:t>), and of the Company, presented as comparative information, were reviewed by another auditor, who expressed an unqualified conclusion in the review report dated 15 May 2024.</w:t>
      </w:r>
      <w:r>
        <w:rPr>
          <w:rFonts w:asciiTheme="majorHAnsi" w:hAnsiTheme="majorHAnsi" w:cstheme="majorHAnsi"/>
          <w:color w:val="auto"/>
          <w:spacing w:val="-4"/>
          <w:sz w:val="22"/>
          <w:szCs w:val="22"/>
        </w:rPr>
        <w:t xml:space="preserve"> </w:t>
      </w:r>
      <w:r w:rsidR="007548B0" w:rsidRPr="007548B0">
        <w:rPr>
          <w:rFonts w:asciiTheme="majorHAnsi" w:hAnsiTheme="majorHAnsi" w:cstheme="majorHAnsi"/>
          <w:color w:val="auto"/>
          <w:spacing w:val="-4"/>
          <w:sz w:val="22"/>
          <w:szCs w:val="22"/>
        </w:rPr>
        <w:t>The review report included an Emphasis of Matter paragraph stating that, during the year 2023, the Company’s Board of Directors approved an investment whereby three subsidiaries of the Company invested in Galalane Limited. At that time, the Group was in the process of determining the fair values of the identifiable assets acquired and liabilities assumed as at the acquisition date, including the measurement of goodwill. The Group assessed the recoverable amount of the investment and determined that the recoverable amount was lower than its carrying amount by Baht 17 million. Accordingly, the Group recognised an impairment loss on the investment in profit or loss for the year 2023.</w:t>
      </w:r>
      <w:r w:rsidR="005C665B">
        <w:rPr>
          <w:rFonts w:asciiTheme="majorHAnsi" w:hAnsiTheme="majorHAnsi" w:cstheme="majorHAnsi"/>
          <w:color w:val="auto"/>
          <w:spacing w:val="-4"/>
          <w:sz w:val="22"/>
          <w:szCs w:val="22"/>
        </w:rPr>
        <w:t xml:space="preserve"> </w:t>
      </w:r>
      <w:r w:rsidR="005C665B" w:rsidRPr="005C665B">
        <w:rPr>
          <w:rFonts w:asciiTheme="majorHAnsi" w:hAnsiTheme="majorHAnsi" w:cstheme="majorHAnsi"/>
          <w:color w:val="auto"/>
          <w:spacing w:val="-4"/>
          <w:sz w:val="22"/>
          <w:szCs w:val="22"/>
        </w:rPr>
        <w:t>In addition, management disclosed a sensitivity analysis relating to changes in the discount rate as at 31 December 2023.</w:t>
      </w:r>
    </w:p>
    <w:p w14:paraId="0192120D" w14:textId="2B137907" w:rsidR="00CD0E54" w:rsidRPr="00F10938" w:rsidRDefault="00876DE9" w:rsidP="00CD0E54">
      <w:pPr>
        <w:spacing w:line="240" w:lineRule="auto"/>
        <w:jc w:val="thaiDistribute"/>
        <w:rPr>
          <w:rFonts w:asciiTheme="majorHAnsi" w:eastAsia="Cordia New" w:hAnsiTheme="majorHAnsi" w:cstheme="majorHAnsi"/>
          <w:color w:val="auto"/>
          <w:sz w:val="22"/>
          <w:szCs w:val="22"/>
          <w:lang w:eastAsia="zh-CN"/>
        </w:rPr>
      </w:pPr>
      <w:r w:rsidRPr="00876DE9">
        <w:rPr>
          <w:rFonts w:asciiTheme="majorHAnsi" w:eastAsia="Cordia New" w:hAnsiTheme="majorHAnsi" w:cstheme="majorHAnsi"/>
          <w:color w:val="auto"/>
          <w:sz w:val="22"/>
          <w:szCs w:val="22"/>
          <w:lang w:eastAsia="zh-CN"/>
        </w:rPr>
        <w:lastRenderedPageBreak/>
        <w:t>I previously reported on the interim financial information of NR Instant Produce Public Company Limited and its subsidiaries for the three-month period ended 31 March 2025, expressing a qualified conclusion in my report dated 15 May 2025, as described in the Basis for Qualified Conclusion paragraph.</w:t>
      </w:r>
      <w:r w:rsidRPr="00876DE9">
        <w:t xml:space="preserve"> </w:t>
      </w:r>
      <w:r w:rsidRPr="00876DE9">
        <w:rPr>
          <w:rFonts w:asciiTheme="majorHAnsi" w:eastAsia="Cordia New" w:hAnsiTheme="majorHAnsi" w:cstheme="majorHAnsi"/>
          <w:color w:val="auto"/>
          <w:sz w:val="22"/>
          <w:szCs w:val="22"/>
          <w:lang w:eastAsia="zh-CN"/>
        </w:rPr>
        <w:t>Subsequently, I reported on the interim financial information of the</w:t>
      </w:r>
      <w:r w:rsidR="00B02130">
        <w:rPr>
          <w:rFonts w:asciiTheme="majorHAnsi" w:eastAsia="Cordia New" w:hAnsiTheme="majorHAnsi" w:cstheme="majorHAnsi"/>
          <w:color w:val="auto"/>
          <w:sz w:val="22"/>
          <w:szCs w:val="22"/>
          <w:lang w:eastAsia="zh-CN"/>
        </w:rPr>
        <w:t xml:space="preserve"> Group and the</w:t>
      </w:r>
      <w:r w:rsidRPr="00876DE9">
        <w:rPr>
          <w:rFonts w:asciiTheme="majorHAnsi" w:eastAsia="Cordia New" w:hAnsiTheme="majorHAnsi" w:cstheme="majorHAnsi"/>
          <w:color w:val="auto"/>
          <w:sz w:val="22"/>
          <w:szCs w:val="22"/>
          <w:lang w:eastAsia="zh-CN"/>
        </w:rPr>
        <w:t xml:space="preserve"> Company for the three-month period ended 31 March 2025 (restated) in my report dated </w:t>
      </w:r>
      <w:r w:rsidR="00AE4C50">
        <w:rPr>
          <w:rFonts w:asciiTheme="majorHAnsi" w:eastAsia="Cordia New" w:hAnsiTheme="majorHAnsi" w:cstheme="majorHAnsi"/>
          <w:color w:val="auto"/>
          <w:sz w:val="22"/>
          <w:szCs w:val="22"/>
          <w:lang w:eastAsia="zh-CN"/>
        </w:rPr>
        <w:t xml:space="preserve">on </w:t>
      </w:r>
      <w:r w:rsidRPr="00876DE9">
        <w:rPr>
          <w:rFonts w:asciiTheme="majorHAnsi" w:eastAsia="Cordia New" w:hAnsiTheme="majorHAnsi" w:cstheme="majorHAnsi"/>
          <w:color w:val="auto"/>
          <w:sz w:val="22"/>
          <w:szCs w:val="22"/>
          <w:lang w:eastAsia="zh-CN"/>
        </w:rPr>
        <w:t>30 October 2025, in which a qualified conclusion was again expressed due to</w:t>
      </w:r>
      <w:r>
        <w:rPr>
          <w:rFonts w:asciiTheme="majorHAnsi" w:eastAsia="Cordia New" w:hAnsiTheme="majorHAnsi" w:cstheme="majorHAnsi"/>
          <w:color w:val="auto"/>
          <w:sz w:val="22"/>
          <w:szCs w:val="22"/>
          <w:lang w:eastAsia="zh-CN"/>
        </w:rPr>
        <w:t xml:space="preserve"> 1) </w:t>
      </w:r>
      <w:r w:rsidRPr="00876DE9">
        <w:rPr>
          <w:rFonts w:asciiTheme="majorHAnsi" w:eastAsia="Cordia New" w:hAnsiTheme="majorHAnsi" w:cstheme="majorHAnsi"/>
          <w:color w:val="auto"/>
          <w:sz w:val="22"/>
          <w:szCs w:val="22"/>
          <w:lang w:eastAsia="zh-CN"/>
        </w:rPr>
        <w:t>a limitation of scope relating to the valuation of investments in unlisted equity instruments, investments in three subsidiaries, losses on asset acquisition, and the valuation of assets and liabilities of the KAL group, as well as long-term loans to subsidiaries and accrued interest receivable, including the expected credit losses on such loans; and</w:t>
      </w:r>
      <w:r w:rsidR="008F1EFF">
        <w:rPr>
          <w:rFonts w:asciiTheme="majorHAnsi" w:eastAsia="Cordia New" w:hAnsiTheme="majorHAnsi" w:cstheme="majorHAnsi"/>
          <w:color w:val="auto"/>
          <w:sz w:val="22"/>
          <w:szCs w:val="22"/>
          <w:lang w:eastAsia="zh-CN"/>
        </w:rPr>
        <w:t xml:space="preserve"> 2) </w:t>
      </w:r>
      <w:r w:rsidR="00FC439D" w:rsidRPr="00FC439D">
        <w:rPr>
          <w:rFonts w:asciiTheme="majorHAnsi" w:eastAsia="Cordia New" w:hAnsiTheme="majorHAnsi" w:cstheme="majorHAnsi"/>
          <w:color w:val="auto"/>
          <w:sz w:val="22"/>
          <w:szCs w:val="22"/>
          <w:lang w:eastAsia="zh-CN"/>
        </w:rPr>
        <w:t>material misstatements relating to inventory, cost of sales and other related accounts that might have been necessary, as the adjustments arising from inventory count variances of a subsidiary had only been recorded on a preliminary basis.</w:t>
      </w:r>
      <w:r w:rsidR="00FC439D" w:rsidRPr="00FC439D">
        <w:t xml:space="preserve"> </w:t>
      </w:r>
      <w:r w:rsidR="00FC439D" w:rsidRPr="00FC439D">
        <w:rPr>
          <w:rFonts w:asciiTheme="majorHAnsi" w:eastAsia="Cordia New" w:hAnsiTheme="majorHAnsi" w:cstheme="majorHAnsi"/>
          <w:color w:val="auto"/>
          <w:sz w:val="22"/>
          <w:szCs w:val="22"/>
          <w:lang w:eastAsia="zh-CN"/>
        </w:rPr>
        <w:t>Thereafter, the Group made further adjustments relating to inventory and prepared and presented the interim financial statements for the three-month period ended 31 March 2025 (</w:t>
      </w:r>
      <w:r w:rsidR="00AE4C50">
        <w:rPr>
          <w:rFonts w:asciiTheme="majorHAnsi" w:hAnsiTheme="majorHAnsi" w:cstheme="majorHAnsi"/>
          <w:color w:val="auto"/>
          <w:spacing w:val="-4"/>
          <w:sz w:val="22"/>
          <w:szCs w:val="22"/>
        </w:rPr>
        <w:t xml:space="preserve">additional </w:t>
      </w:r>
      <w:r w:rsidR="00AE4C50" w:rsidRPr="001D7B66">
        <w:rPr>
          <w:rFonts w:asciiTheme="majorHAnsi" w:hAnsiTheme="majorHAnsi" w:cstheme="majorHAnsi"/>
          <w:color w:val="auto"/>
          <w:spacing w:val="-4"/>
          <w:sz w:val="22"/>
          <w:szCs w:val="22"/>
        </w:rPr>
        <w:t>restate</w:t>
      </w:r>
      <w:r w:rsidR="00AE2282">
        <w:rPr>
          <w:rFonts w:asciiTheme="majorHAnsi" w:hAnsiTheme="majorHAnsi" w:cstheme="majorHAnsi"/>
          <w:color w:val="auto"/>
          <w:spacing w:val="-4"/>
          <w:sz w:val="22"/>
          <w:szCs w:val="22"/>
        </w:rPr>
        <w:t>ment</w:t>
      </w:r>
      <w:r w:rsidR="00FC439D" w:rsidRPr="00FC439D">
        <w:rPr>
          <w:rFonts w:asciiTheme="majorHAnsi" w:eastAsia="Cordia New" w:hAnsiTheme="majorHAnsi" w:cstheme="majorHAnsi"/>
          <w:color w:val="auto"/>
          <w:sz w:val="22"/>
          <w:szCs w:val="22"/>
          <w:lang w:eastAsia="zh-CN"/>
        </w:rPr>
        <w:t xml:space="preserve">) for re-issuance, replacing the financial statements previously authorised for issue by the Group’s authorised </w:t>
      </w:r>
      <w:r w:rsidR="00E8353A">
        <w:rPr>
          <w:rFonts w:asciiTheme="majorHAnsi" w:eastAsia="Cordia New" w:hAnsiTheme="majorHAnsi" w:cstheme="majorHAnsi"/>
          <w:color w:val="auto"/>
          <w:sz w:val="22"/>
          <w:szCs w:val="22"/>
          <w:lang w:eastAsia="zh-CN"/>
        </w:rPr>
        <w:t xml:space="preserve">board of directors </w:t>
      </w:r>
      <w:r w:rsidR="00FC439D" w:rsidRPr="00FC439D">
        <w:rPr>
          <w:rFonts w:asciiTheme="majorHAnsi" w:eastAsia="Cordia New" w:hAnsiTheme="majorHAnsi" w:cstheme="majorHAnsi"/>
          <w:color w:val="auto"/>
          <w:sz w:val="22"/>
          <w:szCs w:val="22"/>
          <w:lang w:eastAsia="zh-CN"/>
        </w:rPr>
        <w:t>on 30 October 2025, in order to reflect such additional adjustments as described in the Emphasis of Matter paragraph.</w:t>
      </w:r>
      <w:r w:rsidR="00FC439D">
        <w:rPr>
          <w:rFonts w:asciiTheme="majorHAnsi" w:eastAsia="Cordia New" w:hAnsiTheme="majorHAnsi" w:cstheme="majorHAnsi"/>
          <w:color w:val="auto"/>
          <w:sz w:val="22"/>
          <w:szCs w:val="22"/>
          <w:lang w:eastAsia="zh-CN"/>
        </w:rPr>
        <w:t xml:space="preserve"> </w:t>
      </w:r>
      <w:r w:rsidR="00FC439D" w:rsidRPr="00FC439D">
        <w:rPr>
          <w:rFonts w:asciiTheme="majorHAnsi" w:eastAsia="Cordia New" w:hAnsiTheme="majorHAnsi" w:cstheme="majorHAnsi"/>
          <w:color w:val="auto"/>
          <w:sz w:val="22"/>
          <w:szCs w:val="22"/>
          <w:lang w:eastAsia="zh-CN"/>
        </w:rPr>
        <w:t>Accordingly, this report differs from the previous report in that an unqualified conclusion is expressed in respect of inventory, cost of sales and other related accounts, and an additional report date has been included in the auditor’s report. The review procedures performed subsequent to the additional report date were limited solely to the consideration of the adjustments to the interim financial statements relating to unallocated business acquisition costs, investments in subsidiaries, loans to subsidiaries and accrued interest receivable, and inventory, as disclosed in Note 22 to the interim financial information.</w:t>
      </w:r>
    </w:p>
    <w:p w14:paraId="58B87777" w14:textId="77777777" w:rsidR="00BD4F8A" w:rsidRPr="00F67F27" w:rsidRDefault="00BD4F8A" w:rsidP="00BD4F8A">
      <w:pPr>
        <w:pStyle w:val="Default"/>
        <w:jc w:val="thaiDistribute"/>
        <w:rPr>
          <w:rFonts w:asciiTheme="majorHAnsi" w:hAnsiTheme="majorHAnsi" w:cstheme="majorHAnsi"/>
          <w:sz w:val="22"/>
          <w:szCs w:val="22"/>
        </w:rPr>
      </w:pPr>
    </w:p>
    <w:p w14:paraId="37CBF2D6" w14:textId="77777777" w:rsidR="00BD4F8A" w:rsidRDefault="00BD4F8A" w:rsidP="00BD4F8A">
      <w:pPr>
        <w:pStyle w:val="Default"/>
        <w:jc w:val="thaiDistribute"/>
        <w:rPr>
          <w:rFonts w:asciiTheme="majorHAnsi" w:hAnsiTheme="majorHAnsi" w:cstheme="majorHAnsi"/>
          <w:sz w:val="22"/>
          <w:szCs w:val="22"/>
        </w:rPr>
      </w:pPr>
    </w:p>
    <w:p w14:paraId="31D07AF0" w14:textId="77777777" w:rsidR="0032430E" w:rsidRDefault="0032430E" w:rsidP="00BD4F8A">
      <w:pPr>
        <w:pStyle w:val="Default"/>
        <w:jc w:val="thaiDistribute"/>
        <w:rPr>
          <w:rFonts w:asciiTheme="majorHAnsi" w:hAnsiTheme="majorHAnsi" w:cstheme="majorHAnsi"/>
          <w:sz w:val="22"/>
          <w:szCs w:val="22"/>
        </w:rPr>
      </w:pPr>
    </w:p>
    <w:p w14:paraId="463E647A" w14:textId="77777777" w:rsidR="0032430E" w:rsidRDefault="0032430E" w:rsidP="00BD4F8A">
      <w:pPr>
        <w:pStyle w:val="Default"/>
        <w:jc w:val="thaiDistribute"/>
        <w:rPr>
          <w:rFonts w:asciiTheme="majorHAnsi" w:hAnsiTheme="majorHAnsi" w:cstheme="majorHAnsi"/>
          <w:sz w:val="22"/>
          <w:szCs w:val="22"/>
        </w:rPr>
      </w:pPr>
    </w:p>
    <w:p w14:paraId="0029AF88" w14:textId="77777777" w:rsidR="0032430E" w:rsidRPr="00F67F27" w:rsidRDefault="0032430E" w:rsidP="00F10938">
      <w:pPr>
        <w:pStyle w:val="Default"/>
        <w:ind w:left="9"/>
        <w:jc w:val="thaiDistribute"/>
        <w:rPr>
          <w:rFonts w:asciiTheme="majorHAnsi" w:hAnsiTheme="majorHAnsi" w:cstheme="majorHAnsi"/>
          <w:sz w:val="22"/>
          <w:szCs w:val="22"/>
        </w:rPr>
      </w:pPr>
    </w:p>
    <w:p w14:paraId="262FD715" w14:textId="26FFE444" w:rsidR="00BD4F8A" w:rsidRPr="00F67F27" w:rsidRDefault="00BD4F8A" w:rsidP="00F10938">
      <w:pPr>
        <w:pStyle w:val="Default"/>
        <w:widowControl w:val="0"/>
        <w:ind w:left="9"/>
        <w:rPr>
          <w:rFonts w:asciiTheme="majorHAnsi" w:hAnsiTheme="majorHAnsi" w:cstheme="majorHAnsi"/>
          <w:sz w:val="22"/>
          <w:szCs w:val="22"/>
        </w:rPr>
      </w:pPr>
      <w:r w:rsidRPr="00F67F27">
        <w:rPr>
          <w:rFonts w:asciiTheme="majorHAnsi" w:hAnsiTheme="majorHAnsi" w:cstheme="majorHAnsi"/>
          <w:sz w:val="22"/>
          <w:szCs w:val="22"/>
        </w:rPr>
        <w:t>(</w:t>
      </w:r>
      <w:r w:rsidR="002927C5" w:rsidRPr="00F67F27">
        <w:rPr>
          <w:rFonts w:asciiTheme="majorHAnsi" w:hAnsiTheme="majorHAnsi" w:cstheme="majorHAnsi"/>
          <w:sz w:val="22"/>
          <w:szCs w:val="22"/>
        </w:rPr>
        <w:t>Banthit Tangpakorn</w:t>
      </w:r>
      <w:r w:rsidRPr="00F67F27">
        <w:rPr>
          <w:rFonts w:asciiTheme="majorHAnsi" w:hAnsiTheme="majorHAnsi" w:cstheme="majorHAnsi"/>
          <w:sz w:val="22"/>
          <w:szCs w:val="22"/>
          <w:cs/>
        </w:rPr>
        <w:t>)</w:t>
      </w:r>
    </w:p>
    <w:p w14:paraId="5F010862" w14:textId="77777777" w:rsidR="00656265" w:rsidRPr="00F67F27" w:rsidRDefault="00656265" w:rsidP="00F10938">
      <w:pPr>
        <w:pStyle w:val="Default"/>
        <w:ind w:left="9"/>
        <w:rPr>
          <w:rFonts w:asciiTheme="majorHAnsi" w:hAnsiTheme="majorHAnsi" w:cstheme="majorHAnsi"/>
          <w:sz w:val="22"/>
          <w:szCs w:val="22"/>
        </w:rPr>
      </w:pPr>
      <w:r w:rsidRPr="00F67F27">
        <w:rPr>
          <w:rFonts w:asciiTheme="majorHAnsi" w:hAnsiTheme="majorHAnsi" w:cstheme="majorHAnsi"/>
          <w:sz w:val="22"/>
          <w:szCs w:val="22"/>
        </w:rPr>
        <w:t>Certified Public Accountant</w:t>
      </w:r>
    </w:p>
    <w:p w14:paraId="02BD85AE" w14:textId="45AB8F69" w:rsidR="00BD4F8A" w:rsidRPr="00A218C5" w:rsidRDefault="00656265" w:rsidP="00F10938">
      <w:pPr>
        <w:pStyle w:val="Default"/>
        <w:ind w:left="9"/>
        <w:rPr>
          <w:rFonts w:asciiTheme="majorHAnsi" w:hAnsiTheme="majorHAnsi" w:cstheme="majorHAnsi"/>
          <w:sz w:val="22"/>
          <w:szCs w:val="22"/>
          <w:cs/>
        </w:rPr>
      </w:pPr>
      <w:r w:rsidRPr="00A218C5">
        <w:rPr>
          <w:rFonts w:asciiTheme="majorHAnsi" w:hAnsiTheme="majorHAnsi" w:cstheme="majorHAnsi"/>
          <w:sz w:val="22"/>
          <w:szCs w:val="22"/>
        </w:rPr>
        <w:t>Registration No.</w:t>
      </w:r>
      <w:r w:rsidR="00BD4F8A" w:rsidRPr="00A218C5">
        <w:rPr>
          <w:rFonts w:asciiTheme="majorHAnsi" w:hAnsiTheme="majorHAnsi" w:cstheme="majorHAnsi"/>
          <w:sz w:val="22"/>
          <w:szCs w:val="22"/>
          <w:cs/>
        </w:rPr>
        <w:t xml:space="preserve"> </w:t>
      </w:r>
      <w:r w:rsidR="00BD4F8A" w:rsidRPr="00A218C5">
        <w:rPr>
          <w:rFonts w:asciiTheme="majorHAnsi" w:hAnsiTheme="majorHAnsi" w:cstheme="majorHAnsi"/>
          <w:sz w:val="22"/>
          <w:szCs w:val="22"/>
        </w:rPr>
        <w:t>8509</w:t>
      </w:r>
    </w:p>
    <w:p w14:paraId="3BBE1391" w14:textId="77777777" w:rsidR="00BD4F8A" w:rsidRPr="00A218C5" w:rsidRDefault="00BD4F8A" w:rsidP="00F10938">
      <w:pPr>
        <w:pStyle w:val="Subtitle"/>
        <w:tabs>
          <w:tab w:val="left" w:pos="1080"/>
        </w:tabs>
        <w:ind w:left="9"/>
        <w:jc w:val="thaiDistribute"/>
        <w:rPr>
          <w:rFonts w:asciiTheme="majorHAnsi" w:hAnsiTheme="majorHAnsi" w:cstheme="majorHAnsi"/>
          <w:sz w:val="22"/>
          <w:szCs w:val="22"/>
        </w:rPr>
      </w:pPr>
    </w:p>
    <w:p w14:paraId="1AE410A9" w14:textId="77777777" w:rsidR="00FA75AF" w:rsidRPr="00A218C5" w:rsidRDefault="00FA75AF" w:rsidP="00F10938">
      <w:pPr>
        <w:spacing w:line="240" w:lineRule="auto"/>
        <w:ind w:left="9"/>
        <w:rPr>
          <w:rFonts w:asciiTheme="majorHAnsi" w:eastAsia="Cordia New" w:hAnsiTheme="majorHAnsi" w:cstheme="majorHAnsi"/>
          <w:color w:val="auto"/>
          <w:sz w:val="22"/>
          <w:szCs w:val="22"/>
          <w:lang w:eastAsia="zh-CN"/>
        </w:rPr>
      </w:pPr>
      <w:r w:rsidRPr="00A218C5">
        <w:rPr>
          <w:rFonts w:asciiTheme="majorHAnsi" w:eastAsia="Cordia New" w:hAnsiTheme="majorHAnsi" w:cstheme="majorHAnsi"/>
          <w:color w:val="auto"/>
          <w:sz w:val="22"/>
          <w:szCs w:val="22"/>
          <w:lang w:eastAsia="zh-CN"/>
        </w:rPr>
        <w:t>PKF Audit (Thailand) Ltd.</w:t>
      </w:r>
    </w:p>
    <w:p w14:paraId="3A5FD61F" w14:textId="77777777" w:rsidR="00FA75AF" w:rsidRPr="00A218C5" w:rsidRDefault="00FA75AF" w:rsidP="00F10938">
      <w:pPr>
        <w:spacing w:line="240" w:lineRule="auto"/>
        <w:ind w:left="9"/>
        <w:rPr>
          <w:rFonts w:asciiTheme="majorHAnsi" w:eastAsia="Cordia New" w:hAnsiTheme="majorHAnsi" w:cstheme="majorHAnsi"/>
          <w:color w:val="auto"/>
          <w:sz w:val="22"/>
          <w:szCs w:val="22"/>
          <w:lang w:eastAsia="zh-CN"/>
        </w:rPr>
      </w:pPr>
      <w:r w:rsidRPr="00A218C5">
        <w:rPr>
          <w:rFonts w:asciiTheme="majorHAnsi" w:eastAsia="Cordia New" w:hAnsiTheme="majorHAnsi" w:cstheme="majorHAnsi"/>
          <w:color w:val="auto"/>
          <w:sz w:val="22"/>
          <w:szCs w:val="22"/>
          <w:lang w:eastAsia="zh-CN"/>
        </w:rPr>
        <w:t>Bangkok</w:t>
      </w:r>
    </w:p>
    <w:p w14:paraId="57E167C6" w14:textId="0CCF65DB" w:rsidR="00E1579F" w:rsidRDefault="007A0651" w:rsidP="00F10938">
      <w:pPr>
        <w:spacing w:after="200" w:line="240" w:lineRule="auto"/>
        <w:ind w:left="9"/>
        <w:rPr>
          <w:rFonts w:asciiTheme="majorHAnsi" w:eastAsia="Cordia New" w:hAnsiTheme="majorHAnsi" w:cstheme="majorHAnsi"/>
          <w:color w:val="auto"/>
          <w:sz w:val="22"/>
          <w:szCs w:val="22"/>
          <w:lang w:eastAsia="zh-CN"/>
        </w:rPr>
      </w:pPr>
      <w:r w:rsidRPr="00A301B5">
        <w:rPr>
          <w:rFonts w:asciiTheme="majorHAnsi" w:eastAsia="Cordia New" w:hAnsiTheme="majorHAnsi" w:cstheme="majorHAnsi"/>
          <w:color w:val="auto"/>
          <w:sz w:val="22"/>
          <w:szCs w:val="22"/>
          <w:lang w:eastAsia="zh-CN"/>
        </w:rPr>
        <w:t xml:space="preserve">15 </w:t>
      </w:r>
      <w:r w:rsidR="00AC0FDC" w:rsidRPr="00A301B5">
        <w:rPr>
          <w:rFonts w:asciiTheme="majorHAnsi" w:eastAsia="Cordia New" w:hAnsiTheme="majorHAnsi" w:cstheme="majorHAnsi"/>
          <w:color w:val="auto"/>
          <w:sz w:val="22"/>
          <w:szCs w:val="22"/>
          <w:lang w:eastAsia="zh-CN"/>
        </w:rPr>
        <w:t xml:space="preserve">May </w:t>
      </w:r>
      <w:r w:rsidR="00656265" w:rsidRPr="00A301B5">
        <w:rPr>
          <w:rFonts w:asciiTheme="majorHAnsi" w:eastAsia="Cordia New" w:hAnsiTheme="majorHAnsi" w:cstheme="majorHAnsi"/>
          <w:color w:val="auto"/>
          <w:sz w:val="22"/>
          <w:szCs w:val="22"/>
          <w:lang w:eastAsia="zh-CN"/>
        </w:rPr>
        <w:t>202</w:t>
      </w:r>
      <w:r w:rsidR="00AC0FDC" w:rsidRPr="00A301B5">
        <w:rPr>
          <w:rFonts w:asciiTheme="majorHAnsi" w:eastAsia="Cordia New" w:hAnsiTheme="majorHAnsi" w:cstheme="majorHAnsi"/>
          <w:color w:val="auto"/>
          <w:sz w:val="22"/>
          <w:szCs w:val="22"/>
          <w:lang w:eastAsia="zh-CN"/>
        </w:rPr>
        <w:t>5</w:t>
      </w:r>
    </w:p>
    <w:p w14:paraId="7B90B8DF" w14:textId="5AA1F491" w:rsidR="00E13EC8" w:rsidRPr="007245CC" w:rsidRDefault="00AD6D53" w:rsidP="00AD6D53">
      <w:pPr>
        <w:spacing w:after="200" w:line="240" w:lineRule="auto"/>
        <w:rPr>
          <w:rFonts w:asciiTheme="majorHAnsi" w:hAnsiTheme="majorHAnsi" w:cstheme="majorHAnsi"/>
          <w:sz w:val="22"/>
          <w:szCs w:val="22"/>
        </w:rPr>
      </w:pPr>
      <w:r w:rsidRPr="00AD6D53">
        <w:rPr>
          <w:rFonts w:asciiTheme="majorHAnsi" w:eastAsia="Cordia New" w:hAnsiTheme="majorHAnsi" w:cstheme="majorHAnsi"/>
          <w:i/>
          <w:iCs/>
          <w:color w:val="auto"/>
          <w:sz w:val="22"/>
          <w:szCs w:val="22"/>
          <w:lang w:eastAsia="zh-CN"/>
        </w:rPr>
        <w:t xml:space="preserve">(Except for the </w:t>
      </w:r>
      <w:r w:rsidR="00D97857">
        <w:rPr>
          <w:rFonts w:asciiTheme="majorHAnsi" w:eastAsia="Cordia New" w:hAnsiTheme="majorHAnsi" w:cs="Browallia New"/>
          <w:i/>
          <w:iCs/>
          <w:color w:val="auto"/>
          <w:sz w:val="22"/>
          <w:szCs w:val="28"/>
          <w:lang w:eastAsia="zh-CN" w:bidi="th-TH"/>
        </w:rPr>
        <w:t>transactions</w:t>
      </w:r>
      <w:r w:rsidR="00DC01CD">
        <w:rPr>
          <w:rFonts w:asciiTheme="majorHAnsi" w:eastAsia="Cordia New" w:hAnsiTheme="majorHAnsi" w:cs="Browallia New"/>
          <w:i/>
          <w:iCs/>
          <w:color w:val="auto"/>
          <w:sz w:val="22"/>
          <w:szCs w:val="28"/>
          <w:lang w:eastAsia="zh-CN" w:bidi="th-TH"/>
        </w:rPr>
        <w:t xml:space="preserve"> des</w:t>
      </w:r>
      <w:r w:rsidR="007C5CAC">
        <w:rPr>
          <w:rFonts w:asciiTheme="majorHAnsi" w:eastAsia="Cordia New" w:hAnsiTheme="majorHAnsi" w:cs="Browallia New"/>
          <w:i/>
          <w:iCs/>
          <w:color w:val="auto"/>
          <w:sz w:val="22"/>
          <w:szCs w:val="28"/>
          <w:lang w:eastAsia="zh-CN" w:bidi="th-TH"/>
        </w:rPr>
        <w:t>cribed</w:t>
      </w:r>
      <w:r w:rsidR="009C6CB8">
        <w:rPr>
          <w:rFonts w:asciiTheme="majorHAnsi" w:eastAsia="Cordia New" w:hAnsiTheme="majorHAnsi" w:cs="Browallia New"/>
          <w:i/>
          <w:iCs/>
          <w:color w:val="auto"/>
          <w:sz w:val="22"/>
          <w:szCs w:val="28"/>
          <w:lang w:eastAsia="zh-CN" w:bidi="th-TH"/>
        </w:rPr>
        <w:t xml:space="preserve"> in note </w:t>
      </w:r>
      <w:r w:rsidRPr="00AD6D53">
        <w:rPr>
          <w:rFonts w:asciiTheme="majorHAnsi" w:eastAsia="Cordia New" w:hAnsiTheme="majorHAnsi" w:cstheme="majorHAnsi"/>
          <w:i/>
          <w:iCs/>
          <w:color w:val="auto"/>
          <w:sz w:val="22"/>
          <w:szCs w:val="22"/>
          <w:lang w:eastAsia="zh-CN"/>
        </w:rPr>
        <w:t>2</w:t>
      </w:r>
      <w:r w:rsidR="00102583">
        <w:rPr>
          <w:rFonts w:asciiTheme="majorHAnsi" w:eastAsia="Cordia New" w:hAnsiTheme="majorHAnsi" w:cstheme="majorHAnsi"/>
          <w:i/>
          <w:iCs/>
          <w:color w:val="auto"/>
          <w:sz w:val="22"/>
          <w:szCs w:val="22"/>
          <w:lang w:eastAsia="zh-CN"/>
        </w:rPr>
        <w:t>2</w:t>
      </w:r>
      <w:r w:rsidRPr="00AD6D53">
        <w:rPr>
          <w:rFonts w:asciiTheme="majorHAnsi" w:eastAsia="Cordia New" w:hAnsiTheme="majorHAnsi" w:cstheme="majorHAnsi"/>
          <w:i/>
          <w:iCs/>
          <w:color w:val="auto"/>
          <w:sz w:val="22"/>
          <w:szCs w:val="22"/>
          <w:lang w:eastAsia="zh-CN"/>
        </w:rPr>
        <w:t xml:space="preserve"> </w:t>
      </w:r>
      <w:r w:rsidR="00096B60" w:rsidRPr="00AD6D53">
        <w:rPr>
          <w:rFonts w:asciiTheme="majorHAnsi" w:eastAsia="Cordia New" w:hAnsiTheme="majorHAnsi" w:cstheme="majorHAnsi"/>
          <w:i/>
          <w:iCs/>
          <w:color w:val="auto"/>
          <w:sz w:val="22"/>
          <w:szCs w:val="22"/>
          <w:lang w:eastAsia="zh-CN"/>
        </w:rPr>
        <w:t>and Other</w:t>
      </w:r>
      <w:r w:rsidRPr="00AD6D53">
        <w:rPr>
          <w:rFonts w:asciiTheme="majorHAnsi" w:eastAsia="Cordia New" w:hAnsiTheme="majorHAnsi" w:cstheme="majorHAnsi"/>
          <w:i/>
          <w:iCs/>
          <w:color w:val="auto"/>
          <w:sz w:val="22"/>
          <w:szCs w:val="22"/>
          <w:lang w:eastAsia="zh-CN"/>
        </w:rPr>
        <w:t xml:space="preserve"> Matter, which are dated </w:t>
      </w:r>
      <w:r w:rsidR="001818B0">
        <w:rPr>
          <w:rFonts w:asciiTheme="majorHAnsi" w:eastAsia="Cordia New" w:hAnsiTheme="majorHAnsi" w:cstheme="majorHAnsi"/>
          <w:i/>
          <w:iCs/>
          <w:color w:val="auto"/>
          <w:sz w:val="22"/>
          <w:szCs w:val="22"/>
          <w:lang w:eastAsia="zh-CN"/>
        </w:rPr>
        <w:t>25 December</w:t>
      </w:r>
      <w:r w:rsidRPr="00AD6D53">
        <w:rPr>
          <w:rFonts w:asciiTheme="majorHAnsi" w:eastAsia="Cordia New" w:hAnsiTheme="majorHAnsi" w:cstheme="majorHAnsi"/>
          <w:i/>
          <w:iCs/>
          <w:color w:val="auto"/>
          <w:sz w:val="22"/>
          <w:szCs w:val="22"/>
          <w:lang w:eastAsia="zh-CN"/>
        </w:rPr>
        <w:t xml:space="preserve"> 2025.)</w:t>
      </w:r>
    </w:p>
    <w:sectPr w:rsidR="00E13EC8" w:rsidRPr="007245CC" w:rsidSect="00B65F79">
      <w:footerReference w:type="first" r:id="rId20"/>
      <w:pgSz w:w="11900" w:h="16840" w:code="9"/>
      <w:pgMar w:top="2736" w:right="1080" w:bottom="1080" w:left="1728" w:header="720" w:footer="576"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DBAC5" w14:textId="77777777" w:rsidR="0010404B" w:rsidRDefault="0010404B">
      <w:pPr>
        <w:spacing w:line="240" w:lineRule="auto"/>
      </w:pPr>
      <w:r>
        <w:separator/>
      </w:r>
    </w:p>
  </w:endnote>
  <w:endnote w:type="continuationSeparator" w:id="0">
    <w:p w14:paraId="7C230C3F" w14:textId="77777777" w:rsidR="0010404B" w:rsidRDefault="0010404B">
      <w:pPr>
        <w:spacing w:line="240" w:lineRule="auto"/>
      </w:pPr>
      <w:r>
        <w:continuationSeparator/>
      </w:r>
    </w:p>
  </w:endnote>
  <w:endnote w:type="continuationNotice" w:id="1">
    <w:p w14:paraId="10F38D67" w14:textId="77777777" w:rsidR="0010404B" w:rsidRDefault="001040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18902"/>
      <w:docPartObj>
        <w:docPartGallery w:val="Page Numbers (Bottom of Page)"/>
        <w:docPartUnique/>
      </w:docPartObj>
    </w:sdtPr>
    <w:sdtEndPr>
      <w:rPr>
        <w:noProof/>
      </w:rPr>
    </w:sdtEndPr>
    <w:sdtContent>
      <w:p w14:paraId="2AE9894D" w14:textId="77777777" w:rsidR="0033420C" w:rsidRDefault="0033420C" w:rsidP="0033420C">
        <w:pPr>
          <w:pStyle w:val="Footer"/>
        </w:pPr>
        <w:r w:rsidRPr="005C01A5">
          <w:t xml:space="preserve">PKF </w:t>
        </w:r>
        <w:r>
          <w:t>Audit (Thailand)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p w14:paraId="193C7754" w14:textId="5C452883" w:rsidR="00045944" w:rsidRDefault="00121431" w:rsidP="00045944">
        <w:pPr>
          <w:pStyle w:val="Footer"/>
          <w:jc w:val="right"/>
        </w:pPr>
        <w:r>
          <w:rPr>
            <w:lang w:bidi="th-TH"/>
          </w:rPr>
          <w:t>2</w:t>
        </w:r>
      </w:p>
    </w:sdtContent>
  </w:sdt>
  <w:p w14:paraId="6025140D" w14:textId="77777777" w:rsidR="008378E0" w:rsidRDefault="008378E0">
    <w:pPr>
      <w:pStyle w:val="Footer"/>
      <w:rPr>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E6442" w14:textId="53B5A40A" w:rsidR="00AE69D1" w:rsidRDefault="00AE69D1">
    <w:pPr>
      <w:pStyle w:val="Footer"/>
      <w:jc w:val="right"/>
    </w:pPr>
  </w:p>
  <w:p w14:paraId="15BED288" w14:textId="77777777" w:rsidR="00AE69D1" w:rsidRDefault="00AE69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5780409"/>
      <w:docPartObj>
        <w:docPartGallery w:val="Page Numbers (Bottom of Page)"/>
        <w:docPartUnique/>
      </w:docPartObj>
    </w:sdtPr>
    <w:sdtEndPr>
      <w:rPr>
        <w:noProof/>
      </w:rPr>
    </w:sdtEndPr>
    <w:sdtContent>
      <w:p w14:paraId="256EB38E" w14:textId="25837CDB" w:rsidR="007707D5" w:rsidRDefault="007707D5">
        <w:pPr>
          <w:pStyle w:val="Footer"/>
          <w:jc w:val="right"/>
        </w:pPr>
        <w:r w:rsidRPr="007707D5">
          <w:rPr>
            <w:rFonts w:asciiTheme="majorHAnsi" w:hAnsiTheme="majorHAnsi" w:cstheme="majorHAnsi"/>
            <w:sz w:val="19"/>
            <w:szCs w:val="19"/>
          </w:rPr>
          <w:fldChar w:fldCharType="begin"/>
        </w:r>
        <w:r w:rsidRPr="007707D5">
          <w:rPr>
            <w:rFonts w:asciiTheme="majorHAnsi" w:hAnsiTheme="majorHAnsi" w:cstheme="majorHAnsi"/>
            <w:sz w:val="19"/>
            <w:szCs w:val="19"/>
          </w:rPr>
          <w:instrText xml:space="preserve"> PAGE   \* MERGEFORMAT </w:instrText>
        </w:r>
        <w:r w:rsidRPr="007707D5">
          <w:rPr>
            <w:rFonts w:asciiTheme="majorHAnsi" w:hAnsiTheme="majorHAnsi" w:cstheme="majorHAnsi"/>
            <w:sz w:val="19"/>
            <w:szCs w:val="19"/>
          </w:rPr>
          <w:fldChar w:fldCharType="separate"/>
        </w:r>
        <w:r w:rsidRPr="007707D5">
          <w:rPr>
            <w:rFonts w:asciiTheme="majorHAnsi" w:hAnsiTheme="majorHAnsi" w:cstheme="majorHAnsi"/>
            <w:noProof/>
            <w:sz w:val="19"/>
            <w:szCs w:val="19"/>
          </w:rPr>
          <w:t>2</w:t>
        </w:r>
        <w:r w:rsidRPr="007707D5">
          <w:rPr>
            <w:rFonts w:asciiTheme="majorHAnsi" w:hAnsiTheme="majorHAnsi" w:cstheme="majorHAnsi"/>
            <w:noProof/>
            <w:sz w:val="19"/>
            <w:szCs w:val="19"/>
          </w:rPr>
          <w:fldChar w:fldCharType="end"/>
        </w:r>
      </w:p>
    </w:sdtContent>
  </w:sdt>
  <w:p w14:paraId="6EB7CEAB" w14:textId="77777777" w:rsidR="00155EC3" w:rsidRDefault="00155E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740185"/>
      <w:docPartObj>
        <w:docPartGallery w:val="Page Numbers (Bottom of Page)"/>
        <w:docPartUnique/>
      </w:docPartObj>
    </w:sdtPr>
    <w:sdtEndPr>
      <w:rPr>
        <w:noProof/>
      </w:rPr>
    </w:sdtEndPr>
    <w:sdtContent>
      <w:p w14:paraId="720F7B82" w14:textId="137A826B" w:rsidR="007707D5" w:rsidRDefault="007707D5">
        <w:pPr>
          <w:pStyle w:val="Footer"/>
          <w:jc w:val="right"/>
        </w:pPr>
        <w:r w:rsidRPr="007707D5">
          <w:rPr>
            <w:rFonts w:asciiTheme="majorHAnsi" w:hAnsiTheme="majorHAnsi" w:cstheme="majorHAnsi"/>
            <w:sz w:val="19"/>
            <w:szCs w:val="19"/>
          </w:rPr>
          <w:fldChar w:fldCharType="begin"/>
        </w:r>
        <w:r w:rsidRPr="007707D5">
          <w:rPr>
            <w:rFonts w:asciiTheme="majorHAnsi" w:hAnsiTheme="majorHAnsi" w:cstheme="majorHAnsi"/>
            <w:sz w:val="19"/>
            <w:szCs w:val="19"/>
          </w:rPr>
          <w:instrText xml:space="preserve"> PAGE   \* MERGEFORMAT </w:instrText>
        </w:r>
        <w:r w:rsidRPr="007707D5">
          <w:rPr>
            <w:rFonts w:asciiTheme="majorHAnsi" w:hAnsiTheme="majorHAnsi" w:cstheme="majorHAnsi"/>
            <w:sz w:val="19"/>
            <w:szCs w:val="19"/>
          </w:rPr>
          <w:fldChar w:fldCharType="separate"/>
        </w:r>
        <w:r w:rsidRPr="007707D5">
          <w:rPr>
            <w:rFonts w:asciiTheme="majorHAnsi" w:hAnsiTheme="majorHAnsi" w:cstheme="majorHAnsi"/>
            <w:noProof/>
            <w:sz w:val="19"/>
            <w:szCs w:val="19"/>
          </w:rPr>
          <w:t>2</w:t>
        </w:r>
        <w:r w:rsidRPr="007707D5">
          <w:rPr>
            <w:rFonts w:asciiTheme="majorHAnsi" w:hAnsiTheme="majorHAnsi" w:cstheme="majorHAnsi"/>
            <w:noProof/>
            <w:sz w:val="19"/>
            <w:szCs w:val="19"/>
          </w:rPr>
          <w:fldChar w:fldCharType="end"/>
        </w:r>
      </w:p>
    </w:sdtContent>
  </w:sdt>
  <w:p w14:paraId="19492AFB" w14:textId="77777777" w:rsidR="00155EC3" w:rsidRDefault="00155EC3">
    <w:pPr>
      <w:pStyle w:val="Footer"/>
      <w:rPr>
        <w:lang w:bidi="th-TH"/>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19"/>
        <w:szCs w:val="19"/>
      </w:rPr>
      <w:id w:val="835194058"/>
      <w:docPartObj>
        <w:docPartGallery w:val="Page Numbers (Bottom of Page)"/>
        <w:docPartUnique/>
      </w:docPartObj>
    </w:sdtPr>
    <w:sdtEndPr>
      <w:rPr>
        <w:rFonts w:ascii="PKF Global Sans Regular" w:hAnsi="PKF Global Sans Regular" w:cstheme="minorBidi"/>
        <w:noProof/>
        <w:sz w:val="12"/>
        <w:szCs w:val="24"/>
      </w:rPr>
    </w:sdtEndPr>
    <w:sdtContent>
      <w:p w14:paraId="5AEB433F" w14:textId="6AF24E04" w:rsidR="00B65F79" w:rsidRDefault="00B65F79">
        <w:pPr>
          <w:pStyle w:val="Footer"/>
          <w:jc w:val="right"/>
        </w:pPr>
        <w:r w:rsidRPr="00155EC3">
          <w:rPr>
            <w:rFonts w:asciiTheme="majorHAnsi" w:hAnsiTheme="majorHAnsi" w:cstheme="majorHAnsi"/>
            <w:sz w:val="19"/>
            <w:szCs w:val="19"/>
          </w:rPr>
          <w:fldChar w:fldCharType="begin"/>
        </w:r>
        <w:r w:rsidRPr="00155EC3">
          <w:rPr>
            <w:rFonts w:asciiTheme="majorHAnsi" w:hAnsiTheme="majorHAnsi" w:cstheme="majorHAnsi"/>
            <w:sz w:val="19"/>
            <w:szCs w:val="19"/>
          </w:rPr>
          <w:instrText xml:space="preserve"> PAGE   \* MERGEFORMAT </w:instrText>
        </w:r>
        <w:r w:rsidRPr="00155EC3">
          <w:rPr>
            <w:rFonts w:asciiTheme="majorHAnsi" w:hAnsiTheme="majorHAnsi" w:cstheme="majorHAnsi"/>
            <w:sz w:val="19"/>
            <w:szCs w:val="19"/>
          </w:rPr>
          <w:fldChar w:fldCharType="separate"/>
        </w:r>
        <w:r w:rsidRPr="00155EC3">
          <w:rPr>
            <w:rFonts w:asciiTheme="majorHAnsi" w:hAnsiTheme="majorHAnsi" w:cstheme="majorHAnsi"/>
            <w:noProof/>
            <w:sz w:val="19"/>
            <w:szCs w:val="19"/>
          </w:rPr>
          <w:t>2</w:t>
        </w:r>
        <w:r w:rsidRPr="00155EC3">
          <w:rPr>
            <w:rFonts w:asciiTheme="majorHAnsi" w:hAnsiTheme="majorHAnsi" w:cstheme="majorHAnsi"/>
            <w:noProof/>
            <w:sz w:val="19"/>
            <w:szCs w:val="19"/>
          </w:rPr>
          <w:fldChar w:fldCharType="end"/>
        </w:r>
      </w:p>
    </w:sdtContent>
  </w:sdt>
  <w:p w14:paraId="0E7F9C56" w14:textId="77777777" w:rsidR="00B65F79" w:rsidRDefault="00B65F7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46714" w14:textId="77777777" w:rsidR="00155EC3" w:rsidRDefault="00155EC3" w:rsidP="00155EC3">
    <w:pPr>
      <w:pStyle w:val="Footer"/>
    </w:pPr>
    <w:r w:rsidRPr="005C01A5">
      <w:t xml:space="preserve">PKF </w:t>
    </w:r>
    <w:r>
      <w:t>Audit (Thailand)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sdt>
    <w:sdtPr>
      <w:id w:val="368029768"/>
      <w:docPartObj>
        <w:docPartGallery w:val="Page Numbers (Bottom of Page)"/>
        <w:docPartUnique/>
      </w:docPartObj>
    </w:sdtPr>
    <w:sdtEndPr>
      <w:rPr>
        <w:noProof/>
      </w:rPr>
    </w:sdtEndPr>
    <w:sdtContent>
      <w:p w14:paraId="23632829" w14:textId="77777777" w:rsidR="00155EC3" w:rsidRDefault="00155EC3">
        <w:pPr>
          <w:pStyle w:val="Footer"/>
          <w:jc w:val="right"/>
        </w:pPr>
        <w:r w:rsidRPr="003A0EB4">
          <w:rPr>
            <w:rFonts w:asciiTheme="majorHAnsi" w:hAnsiTheme="majorHAnsi" w:cstheme="majorHAnsi"/>
            <w:sz w:val="19"/>
            <w:szCs w:val="19"/>
          </w:rPr>
          <w:fldChar w:fldCharType="begin"/>
        </w:r>
        <w:r w:rsidRPr="003A0EB4">
          <w:rPr>
            <w:rFonts w:asciiTheme="majorHAnsi" w:hAnsiTheme="majorHAnsi" w:cstheme="majorHAnsi"/>
            <w:sz w:val="19"/>
            <w:szCs w:val="19"/>
          </w:rPr>
          <w:instrText xml:space="preserve"> PAGE   \* MERGEFORMAT </w:instrText>
        </w:r>
        <w:r w:rsidRPr="003A0EB4">
          <w:rPr>
            <w:rFonts w:asciiTheme="majorHAnsi" w:hAnsiTheme="majorHAnsi" w:cstheme="majorHAnsi"/>
            <w:sz w:val="19"/>
            <w:szCs w:val="19"/>
          </w:rPr>
          <w:fldChar w:fldCharType="separate"/>
        </w:r>
        <w:r w:rsidRPr="00A301B5">
          <w:rPr>
            <w:rFonts w:asciiTheme="majorHAnsi" w:hAnsiTheme="majorHAnsi" w:cstheme="majorHAnsi"/>
            <w:noProof/>
            <w:sz w:val="19"/>
            <w:szCs w:val="19"/>
          </w:rPr>
          <w:t>2</w:t>
        </w:r>
        <w:r w:rsidRPr="003A0EB4">
          <w:rPr>
            <w:rFonts w:asciiTheme="majorHAnsi" w:hAnsiTheme="majorHAnsi" w:cstheme="majorHAnsi"/>
            <w:noProof/>
            <w:sz w:val="19"/>
            <w:szCs w:val="19"/>
          </w:rPr>
          <w:fldChar w:fldCharType="end"/>
        </w:r>
      </w:p>
    </w:sdtContent>
  </w:sdt>
  <w:p w14:paraId="2E0861B8" w14:textId="77777777" w:rsidR="00155EC3" w:rsidRDefault="00155E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24852" w14:textId="77777777" w:rsidR="0010404B" w:rsidRDefault="0010404B">
      <w:pPr>
        <w:spacing w:line="240" w:lineRule="auto"/>
      </w:pPr>
      <w:r>
        <w:separator/>
      </w:r>
    </w:p>
  </w:footnote>
  <w:footnote w:type="continuationSeparator" w:id="0">
    <w:p w14:paraId="42815253" w14:textId="77777777" w:rsidR="0010404B" w:rsidRDefault="0010404B">
      <w:pPr>
        <w:spacing w:line="240" w:lineRule="auto"/>
      </w:pPr>
      <w:r>
        <w:continuationSeparator/>
      </w:r>
    </w:p>
  </w:footnote>
  <w:footnote w:type="continuationNotice" w:id="1">
    <w:p w14:paraId="1309ABEC" w14:textId="77777777" w:rsidR="0010404B" w:rsidRDefault="0010404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C0434" w14:textId="7AD109A9" w:rsidR="00F4441C" w:rsidRDefault="00045944" w:rsidP="00FA3028">
    <w:pPr>
      <w:pStyle w:val="Header"/>
      <w:tabs>
        <w:tab w:val="left" w:pos="90"/>
      </w:tabs>
    </w:pPr>
    <w:r w:rsidRPr="00C550CF">
      <w:rPr>
        <w:noProof/>
      </w:rPr>
      <w:drawing>
        <wp:anchor distT="0" distB="0" distL="114300" distR="114300" simplePos="0" relativeHeight="251658241" behindDoc="0" locked="1" layoutInCell="1" allowOverlap="1" wp14:anchorId="2DAB209F" wp14:editId="406C9EF7">
          <wp:simplePos x="0" y="0"/>
          <wp:positionH relativeFrom="page">
            <wp:posOffset>1123315</wp:posOffset>
          </wp:positionH>
          <wp:positionV relativeFrom="page">
            <wp:posOffset>554355</wp:posOffset>
          </wp:positionV>
          <wp:extent cx="1576705" cy="535940"/>
          <wp:effectExtent l="0" t="0" r="4445" b="0"/>
          <wp:wrapNone/>
          <wp:docPr id="1673639237" name="Picture 1673639237"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48A11" w14:textId="2152C8F9" w:rsidR="00BD5AB6" w:rsidRDefault="00BD5AB6" w:rsidP="00BD5AB6">
    <w:pPr>
      <w:pStyle w:val="Header"/>
    </w:pPr>
  </w:p>
  <w:p w14:paraId="51A5557C" w14:textId="153FDFAD" w:rsidR="00BE0BFA" w:rsidRDefault="00BE0BFA" w:rsidP="00BE0BFA">
    <w:pPr>
      <w:pStyle w:val="Header"/>
    </w:pPr>
    <w:r w:rsidRPr="00C550CF">
      <w:rPr>
        <w:noProof/>
      </w:rPr>
      <w:drawing>
        <wp:anchor distT="0" distB="0" distL="114300" distR="114300" simplePos="0" relativeHeight="251658240" behindDoc="0" locked="1" layoutInCell="1" allowOverlap="1" wp14:anchorId="5BA8FC2D" wp14:editId="153D265B">
          <wp:simplePos x="0" y="0"/>
          <wp:positionH relativeFrom="page">
            <wp:posOffset>1125855</wp:posOffset>
          </wp:positionH>
          <wp:positionV relativeFrom="page">
            <wp:posOffset>486410</wp:posOffset>
          </wp:positionV>
          <wp:extent cx="1576705" cy="535940"/>
          <wp:effectExtent l="0" t="0" r="4445" b="0"/>
          <wp:wrapNone/>
          <wp:docPr id="1272845111" name="Picture 1272845111"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4ECD592D" w14:textId="77777777" w:rsidR="00BE0BFA" w:rsidRPr="008378E0" w:rsidRDefault="00BE0BFA" w:rsidP="00BE0BFA">
    <w:pPr>
      <w:pStyle w:val="Header"/>
    </w:pPr>
  </w:p>
  <w:p w14:paraId="36E2F91A" w14:textId="77777777" w:rsidR="00BE0BFA" w:rsidRPr="00BD5AB6" w:rsidRDefault="00BE0BFA" w:rsidP="00BE0BFA">
    <w:pPr>
      <w:pStyle w:val="Header"/>
    </w:pPr>
  </w:p>
  <w:p w14:paraId="3C7B278C" w14:textId="4D75ABC6" w:rsidR="00BE0BFA" w:rsidRPr="00FC6EB7" w:rsidRDefault="00BE0BFA" w:rsidP="00BE0BFA">
    <w:pPr>
      <w:pStyle w:val="Header"/>
    </w:pPr>
  </w:p>
  <w:p w14:paraId="2071816C" w14:textId="77777777" w:rsidR="00BD5AB6" w:rsidRPr="008378E0" w:rsidRDefault="00BD5AB6" w:rsidP="00BD5AB6">
    <w:pPr>
      <w:pStyle w:val="Header"/>
    </w:pPr>
  </w:p>
  <w:p w14:paraId="48459326" w14:textId="44D87D1D" w:rsidR="00C550CF" w:rsidRPr="00BD5AB6" w:rsidRDefault="00C550CF" w:rsidP="00BD5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78849" w14:textId="4C0CD4A4" w:rsidR="00FC6EB7" w:rsidRDefault="00FC6EB7" w:rsidP="003158DF">
    <w:pPr>
      <w:pStyle w:val="Header"/>
      <w:ind w:firstLine="90"/>
    </w:pPr>
  </w:p>
  <w:p w14:paraId="7CD41642" w14:textId="77777777" w:rsidR="00FC6EB7" w:rsidRPr="008378E0" w:rsidRDefault="00FC6EB7" w:rsidP="00FC6EB7">
    <w:pPr>
      <w:pStyle w:val="Header"/>
    </w:pPr>
  </w:p>
  <w:p w14:paraId="6F66D597" w14:textId="7F6D9AD3" w:rsidR="00FC6EB7" w:rsidRPr="00BD5AB6" w:rsidRDefault="00FC6EB7" w:rsidP="00DD5592">
    <w:pPr>
      <w:pStyle w:val="Header"/>
      <w:tabs>
        <w:tab w:val="left" w:pos="90"/>
      </w:tabs>
    </w:pPr>
  </w:p>
  <w:p w14:paraId="677BC173" w14:textId="08A92D49" w:rsidR="00E1579F" w:rsidRPr="00FC6EB7" w:rsidRDefault="00E1579F" w:rsidP="00FC6E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0AC8D" w14:textId="77777777" w:rsidR="00654BA7" w:rsidRDefault="00654BA7" w:rsidP="003158DF">
    <w:pPr>
      <w:pStyle w:val="Header"/>
      <w:ind w:firstLine="90"/>
    </w:pPr>
    <w:r w:rsidRPr="00C550CF">
      <w:rPr>
        <w:noProof/>
      </w:rPr>
      <w:drawing>
        <wp:anchor distT="0" distB="0" distL="114300" distR="114300" simplePos="0" relativeHeight="251658242" behindDoc="0" locked="1" layoutInCell="1" allowOverlap="1" wp14:anchorId="2FB95563" wp14:editId="740D7F6B">
          <wp:simplePos x="0" y="0"/>
          <wp:positionH relativeFrom="page">
            <wp:posOffset>1097280</wp:posOffset>
          </wp:positionH>
          <wp:positionV relativeFrom="page">
            <wp:posOffset>457200</wp:posOffset>
          </wp:positionV>
          <wp:extent cx="1576705" cy="535940"/>
          <wp:effectExtent l="0" t="0" r="4445" b="0"/>
          <wp:wrapNone/>
          <wp:docPr id="1429583343" name="Picture 1429583343"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1778738B" w14:textId="77777777" w:rsidR="00654BA7" w:rsidRPr="008378E0" w:rsidRDefault="00654BA7" w:rsidP="00FC6EB7">
    <w:pPr>
      <w:pStyle w:val="Header"/>
    </w:pPr>
  </w:p>
  <w:p w14:paraId="02F55891" w14:textId="77777777" w:rsidR="00654BA7" w:rsidRPr="00BD5AB6" w:rsidRDefault="00654BA7" w:rsidP="00DD5592">
    <w:pPr>
      <w:pStyle w:val="Header"/>
      <w:tabs>
        <w:tab w:val="left" w:pos="90"/>
      </w:tabs>
    </w:pPr>
  </w:p>
  <w:p w14:paraId="19536794" w14:textId="77777777" w:rsidR="00654BA7" w:rsidRPr="00FC6EB7" w:rsidRDefault="00654BA7" w:rsidP="00FC6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45BF3"/>
    <w:multiLevelType w:val="hybridMultilevel"/>
    <w:tmpl w:val="44F6DFDA"/>
    <w:lvl w:ilvl="0" w:tplc="CE820580">
      <w:start w:val="1"/>
      <w:numFmt w:val="decimal"/>
      <w:lvlText w:val="%1.)"/>
      <w:lvlJc w:val="left"/>
      <w:pPr>
        <w:ind w:left="360" w:hanging="360"/>
      </w:pPr>
      <w:rPr>
        <w:rFonts w:cs="Browalli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291EBF"/>
    <w:multiLevelType w:val="hybridMultilevel"/>
    <w:tmpl w:val="3516E0C0"/>
    <w:lvl w:ilvl="0" w:tplc="6E98252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CF6856"/>
    <w:multiLevelType w:val="hybridMultilevel"/>
    <w:tmpl w:val="E35275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F726629"/>
    <w:multiLevelType w:val="multilevel"/>
    <w:tmpl w:val="E9363C3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3F925F9"/>
    <w:multiLevelType w:val="hybridMultilevel"/>
    <w:tmpl w:val="30E4D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3455EE"/>
    <w:multiLevelType w:val="hybridMultilevel"/>
    <w:tmpl w:val="E0BC2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796040"/>
    <w:multiLevelType w:val="hybridMultilevel"/>
    <w:tmpl w:val="63E00B0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74583849">
    <w:abstractNumId w:val="5"/>
  </w:num>
  <w:num w:numId="2" w16cid:durableId="6172210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198415">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569058">
    <w:abstractNumId w:val="4"/>
  </w:num>
  <w:num w:numId="5" w16cid:durableId="494224800">
    <w:abstractNumId w:val="2"/>
  </w:num>
  <w:num w:numId="6" w16cid:durableId="168758938">
    <w:abstractNumId w:val="6"/>
  </w:num>
  <w:num w:numId="7" w16cid:durableId="1961841234">
    <w:abstractNumId w:val="0"/>
  </w:num>
  <w:num w:numId="8" w16cid:durableId="1592003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defaultTabStop w:val="720"/>
  <w:evenAndOddHeaders/>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01C1E"/>
    <w:rsid w:val="00002A91"/>
    <w:rsid w:val="0000390A"/>
    <w:rsid w:val="00004F8E"/>
    <w:rsid w:val="00013A01"/>
    <w:rsid w:val="00013C49"/>
    <w:rsid w:val="00016866"/>
    <w:rsid w:val="00017B1D"/>
    <w:rsid w:val="000208D7"/>
    <w:rsid w:val="00022CC4"/>
    <w:rsid w:val="000234DD"/>
    <w:rsid w:val="000274B4"/>
    <w:rsid w:val="00034292"/>
    <w:rsid w:val="000343C9"/>
    <w:rsid w:val="0003653D"/>
    <w:rsid w:val="000425CC"/>
    <w:rsid w:val="00042A0E"/>
    <w:rsid w:val="00043F8D"/>
    <w:rsid w:val="00044C52"/>
    <w:rsid w:val="00045944"/>
    <w:rsid w:val="000470C2"/>
    <w:rsid w:val="0005138C"/>
    <w:rsid w:val="000524E5"/>
    <w:rsid w:val="00052C19"/>
    <w:rsid w:val="00052E89"/>
    <w:rsid w:val="00053FB6"/>
    <w:rsid w:val="00054A7F"/>
    <w:rsid w:val="00055BDD"/>
    <w:rsid w:val="00060D1B"/>
    <w:rsid w:val="000613CE"/>
    <w:rsid w:val="0006161C"/>
    <w:rsid w:val="00063262"/>
    <w:rsid w:val="00064019"/>
    <w:rsid w:val="00065F4C"/>
    <w:rsid w:val="0006611B"/>
    <w:rsid w:val="00066FBA"/>
    <w:rsid w:val="00070397"/>
    <w:rsid w:val="00071A0A"/>
    <w:rsid w:val="00071BD2"/>
    <w:rsid w:val="000720B4"/>
    <w:rsid w:val="00072A64"/>
    <w:rsid w:val="000730BC"/>
    <w:rsid w:val="00074130"/>
    <w:rsid w:val="000744B6"/>
    <w:rsid w:val="0007682D"/>
    <w:rsid w:val="00081D56"/>
    <w:rsid w:val="0008253C"/>
    <w:rsid w:val="0008678E"/>
    <w:rsid w:val="00096B60"/>
    <w:rsid w:val="00097365"/>
    <w:rsid w:val="000A1C0C"/>
    <w:rsid w:val="000A20C5"/>
    <w:rsid w:val="000A299F"/>
    <w:rsid w:val="000A4357"/>
    <w:rsid w:val="000A536E"/>
    <w:rsid w:val="000B0057"/>
    <w:rsid w:val="000B0EB9"/>
    <w:rsid w:val="000B3B9F"/>
    <w:rsid w:val="000B65A1"/>
    <w:rsid w:val="000C5896"/>
    <w:rsid w:val="000C59AB"/>
    <w:rsid w:val="000C5BFF"/>
    <w:rsid w:val="000C6D6F"/>
    <w:rsid w:val="000C7B67"/>
    <w:rsid w:val="000D04C6"/>
    <w:rsid w:val="000D0A67"/>
    <w:rsid w:val="000D128A"/>
    <w:rsid w:val="000D1A17"/>
    <w:rsid w:val="000D1AFE"/>
    <w:rsid w:val="000D469A"/>
    <w:rsid w:val="000D491F"/>
    <w:rsid w:val="000D7F8A"/>
    <w:rsid w:val="000E1791"/>
    <w:rsid w:val="000E2823"/>
    <w:rsid w:val="000E28E0"/>
    <w:rsid w:val="000E4B3F"/>
    <w:rsid w:val="000E53B9"/>
    <w:rsid w:val="000F0522"/>
    <w:rsid w:val="000F23A5"/>
    <w:rsid w:val="000F2E6F"/>
    <w:rsid w:val="000F3D44"/>
    <w:rsid w:val="000F4166"/>
    <w:rsid w:val="000F6440"/>
    <w:rsid w:val="001005D2"/>
    <w:rsid w:val="00101121"/>
    <w:rsid w:val="0010146F"/>
    <w:rsid w:val="00102583"/>
    <w:rsid w:val="001027E8"/>
    <w:rsid w:val="00102FD5"/>
    <w:rsid w:val="00103872"/>
    <w:rsid w:val="0010404B"/>
    <w:rsid w:val="001047C3"/>
    <w:rsid w:val="0010536B"/>
    <w:rsid w:val="0010777C"/>
    <w:rsid w:val="001140B7"/>
    <w:rsid w:val="0011536C"/>
    <w:rsid w:val="0012004F"/>
    <w:rsid w:val="001202D5"/>
    <w:rsid w:val="00121431"/>
    <w:rsid w:val="00122014"/>
    <w:rsid w:val="001242F3"/>
    <w:rsid w:val="00124ACF"/>
    <w:rsid w:val="00132377"/>
    <w:rsid w:val="00132733"/>
    <w:rsid w:val="001334E4"/>
    <w:rsid w:val="00134466"/>
    <w:rsid w:val="001362E3"/>
    <w:rsid w:val="00143A6C"/>
    <w:rsid w:val="00143C54"/>
    <w:rsid w:val="00144AD2"/>
    <w:rsid w:val="00150300"/>
    <w:rsid w:val="00151755"/>
    <w:rsid w:val="00153033"/>
    <w:rsid w:val="00153ACD"/>
    <w:rsid w:val="00154F44"/>
    <w:rsid w:val="00155EC3"/>
    <w:rsid w:val="00156AF5"/>
    <w:rsid w:val="00160115"/>
    <w:rsid w:val="00161CAD"/>
    <w:rsid w:val="0016496C"/>
    <w:rsid w:val="001649DF"/>
    <w:rsid w:val="00173AE0"/>
    <w:rsid w:val="00173F72"/>
    <w:rsid w:val="001740AF"/>
    <w:rsid w:val="00174240"/>
    <w:rsid w:val="0017444A"/>
    <w:rsid w:val="001748D0"/>
    <w:rsid w:val="001779CA"/>
    <w:rsid w:val="00177BE0"/>
    <w:rsid w:val="00181700"/>
    <w:rsid w:val="001818B0"/>
    <w:rsid w:val="001825D6"/>
    <w:rsid w:val="00184874"/>
    <w:rsid w:val="001861ED"/>
    <w:rsid w:val="00186433"/>
    <w:rsid w:val="001866FC"/>
    <w:rsid w:val="00186CD1"/>
    <w:rsid w:val="0019096D"/>
    <w:rsid w:val="00190BF0"/>
    <w:rsid w:val="00191403"/>
    <w:rsid w:val="00197BE8"/>
    <w:rsid w:val="00197F06"/>
    <w:rsid w:val="001A4EBD"/>
    <w:rsid w:val="001A58C8"/>
    <w:rsid w:val="001A5B55"/>
    <w:rsid w:val="001A5C02"/>
    <w:rsid w:val="001A6659"/>
    <w:rsid w:val="001B0EFD"/>
    <w:rsid w:val="001B1287"/>
    <w:rsid w:val="001B3714"/>
    <w:rsid w:val="001B3BD6"/>
    <w:rsid w:val="001C353E"/>
    <w:rsid w:val="001C47F8"/>
    <w:rsid w:val="001C5658"/>
    <w:rsid w:val="001C6190"/>
    <w:rsid w:val="001C7359"/>
    <w:rsid w:val="001D26DA"/>
    <w:rsid w:val="001D30D4"/>
    <w:rsid w:val="001D427C"/>
    <w:rsid w:val="001D50A9"/>
    <w:rsid w:val="001D5787"/>
    <w:rsid w:val="001D5BCF"/>
    <w:rsid w:val="001D7B66"/>
    <w:rsid w:val="001D7E8D"/>
    <w:rsid w:val="001F0B45"/>
    <w:rsid w:val="001F5B4E"/>
    <w:rsid w:val="001F6184"/>
    <w:rsid w:val="00201D2D"/>
    <w:rsid w:val="00202298"/>
    <w:rsid w:val="00202574"/>
    <w:rsid w:val="00204E79"/>
    <w:rsid w:val="00207367"/>
    <w:rsid w:val="002079BD"/>
    <w:rsid w:val="00211F76"/>
    <w:rsid w:val="002179D6"/>
    <w:rsid w:val="00220666"/>
    <w:rsid w:val="002229CA"/>
    <w:rsid w:val="00222B15"/>
    <w:rsid w:val="002231EB"/>
    <w:rsid w:val="002257D2"/>
    <w:rsid w:val="002310D0"/>
    <w:rsid w:val="0023254C"/>
    <w:rsid w:val="00235E36"/>
    <w:rsid w:val="00235FA4"/>
    <w:rsid w:val="00240298"/>
    <w:rsid w:val="0024178C"/>
    <w:rsid w:val="00244373"/>
    <w:rsid w:val="00244A53"/>
    <w:rsid w:val="00245623"/>
    <w:rsid w:val="0024659C"/>
    <w:rsid w:val="002506C5"/>
    <w:rsid w:val="00250BAA"/>
    <w:rsid w:val="00251C3D"/>
    <w:rsid w:val="00253043"/>
    <w:rsid w:val="00253FF1"/>
    <w:rsid w:val="00256216"/>
    <w:rsid w:val="00257167"/>
    <w:rsid w:val="002577C5"/>
    <w:rsid w:val="002605AB"/>
    <w:rsid w:val="002619B8"/>
    <w:rsid w:val="00261EF1"/>
    <w:rsid w:val="0026206D"/>
    <w:rsid w:val="002637E2"/>
    <w:rsid w:val="00264DE0"/>
    <w:rsid w:val="0027194C"/>
    <w:rsid w:val="00273B0F"/>
    <w:rsid w:val="0027613A"/>
    <w:rsid w:val="00277046"/>
    <w:rsid w:val="00277E8D"/>
    <w:rsid w:val="0028054F"/>
    <w:rsid w:val="00283E36"/>
    <w:rsid w:val="00283F74"/>
    <w:rsid w:val="00284BC2"/>
    <w:rsid w:val="00285AC7"/>
    <w:rsid w:val="002863F9"/>
    <w:rsid w:val="002875B5"/>
    <w:rsid w:val="00290616"/>
    <w:rsid w:val="00290930"/>
    <w:rsid w:val="00290CC9"/>
    <w:rsid w:val="002915F7"/>
    <w:rsid w:val="002927C5"/>
    <w:rsid w:val="00297E03"/>
    <w:rsid w:val="002A259D"/>
    <w:rsid w:val="002A5D9B"/>
    <w:rsid w:val="002A5ED1"/>
    <w:rsid w:val="002A78DB"/>
    <w:rsid w:val="002B33F3"/>
    <w:rsid w:val="002B6FB7"/>
    <w:rsid w:val="002C26FC"/>
    <w:rsid w:val="002C59F9"/>
    <w:rsid w:val="002C635A"/>
    <w:rsid w:val="002D1029"/>
    <w:rsid w:val="002D4FA7"/>
    <w:rsid w:val="002D5818"/>
    <w:rsid w:val="002D5E8B"/>
    <w:rsid w:val="002D6FAB"/>
    <w:rsid w:val="002D759D"/>
    <w:rsid w:val="002E1676"/>
    <w:rsid w:val="002E2D3E"/>
    <w:rsid w:val="002E682A"/>
    <w:rsid w:val="002E6EBA"/>
    <w:rsid w:val="002E70EC"/>
    <w:rsid w:val="002F01E8"/>
    <w:rsid w:val="002F0F28"/>
    <w:rsid w:val="002F30EB"/>
    <w:rsid w:val="00300083"/>
    <w:rsid w:val="00300D9B"/>
    <w:rsid w:val="0030607A"/>
    <w:rsid w:val="003061F2"/>
    <w:rsid w:val="00306513"/>
    <w:rsid w:val="00310F43"/>
    <w:rsid w:val="0031144E"/>
    <w:rsid w:val="00311B63"/>
    <w:rsid w:val="003125FD"/>
    <w:rsid w:val="00313D2A"/>
    <w:rsid w:val="003158DF"/>
    <w:rsid w:val="00315AB9"/>
    <w:rsid w:val="0031761C"/>
    <w:rsid w:val="00323EF2"/>
    <w:rsid w:val="0032430E"/>
    <w:rsid w:val="00324BF7"/>
    <w:rsid w:val="0032538A"/>
    <w:rsid w:val="00326700"/>
    <w:rsid w:val="00326818"/>
    <w:rsid w:val="003272B3"/>
    <w:rsid w:val="00330D31"/>
    <w:rsid w:val="00331F52"/>
    <w:rsid w:val="003335AC"/>
    <w:rsid w:val="0033420C"/>
    <w:rsid w:val="0033490C"/>
    <w:rsid w:val="0033588B"/>
    <w:rsid w:val="003404A3"/>
    <w:rsid w:val="00341FF4"/>
    <w:rsid w:val="00347828"/>
    <w:rsid w:val="00350D51"/>
    <w:rsid w:val="0035231D"/>
    <w:rsid w:val="00352DA5"/>
    <w:rsid w:val="0035574C"/>
    <w:rsid w:val="00360EEA"/>
    <w:rsid w:val="00361B31"/>
    <w:rsid w:val="00364ED2"/>
    <w:rsid w:val="00371781"/>
    <w:rsid w:val="00373817"/>
    <w:rsid w:val="00377583"/>
    <w:rsid w:val="0038036F"/>
    <w:rsid w:val="0038056E"/>
    <w:rsid w:val="00381638"/>
    <w:rsid w:val="003828C3"/>
    <w:rsid w:val="0038314B"/>
    <w:rsid w:val="00385515"/>
    <w:rsid w:val="00385863"/>
    <w:rsid w:val="003873B6"/>
    <w:rsid w:val="003875F4"/>
    <w:rsid w:val="0039207F"/>
    <w:rsid w:val="003947E5"/>
    <w:rsid w:val="00395A88"/>
    <w:rsid w:val="0039670F"/>
    <w:rsid w:val="00396FC2"/>
    <w:rsid w:val="0039798E"/>
    <w:rsid w:val="003A057B"/>
    <w:rsid w:val="003A0EB4"/>
    <w:rsid w:val="003A14CF"/>
    <w:rsid w:val="003A1CFB"/>
    <w:rsid w:val="003A3AFC"/>
    <w:rsid w:val="003B35E1"/>
    <w:rsid w:val="003B4DAE"/>
    <w:rsid w:val="003B7602"/>
    <w:rsid w:val="003C2A5D"/>
    <w:rsid w:val="003C5B00"/>
    <w:rsid w:val="003C736D"/>
    <w:rsid w:val="003C7564"/>
    <w:rsid w:val="003C77C2"/>
    <w:rsid w:val="003D1DF8"/>
    <w:rsid w:val="003D2202"/>
    <w:rsid w:val="003D389B"/>
    <w:rsid w:val="003D3F6D"/>
    <w:rsid w:val="003D59A4"/>
    <w:rsid w:val="003E00F5"/>
    <w:rsid w:val="003E1BBE"/>
    <w:rsid w:val="003E278E"/>
    <w:rsid w:val="003E3205"/>
    <w:rsid w:val="003E465E"/>
    <w:rsid w:val="003E7186"/>
    <w:rsid w:val="003E7933"/>
    <w:rsid w:val="003F11EC"/>
    <w:rsid w:val="003F733A"/>
    <w:rsid w:val="003F7929"/>
    <w:rsid w:val="00400BAB"/>
    <w:rsid w:val="004038AB"/>
    <w:rsid w:val="00406E09"/>
    <w:rsid w:val="0040751C"/>
    <w:rsid w:val="004152D4"/>
    <w:rsid w:val="00416170"/>
    <w:rsid w:val="0041751E"/>
    <w:rsid w:val="0042187C"/>
    <w:rsid w:val="004273D2"/>
    <w:rsid w:val="004276FA"/>
    <w:rsid w:val="004278C5"/>
    <w:rsid w:val="00430467"/>
    <w:rsid w:val="00432555"/>
    <w:rsid w:val="00433526"/>
    <w:rsid w:val="00433A98"/>
    <w:rsid w:val="00433DAE"/>
    <w:rsid w:val="0043466D"/>
    <w:rsid w:val="0043644B"/>
    <w:rsid w:val="00437E70"/>
    <w:rsid w:val="004400D7"/>
    <w:rsid w:val="00441919"/>
    <w:rsid w:val="00443ECE"/>
    <w:rsid w:val="00446F2A"/>
    <w:rsid w:val="00447628"/>
    <w:rsid w:val="00447DC9"/>
    <w:rsid w:val="004525CF"/>
    <w:rsid w:val="00453D19"/>
    <w:rsid w:val="0045629B"/>
    <w:rsid w:val="00456D32"/>
    <w:rsid w:val="00457728"/>
    <w:rsid w:val="004577DB"/>
    <w:rsid w:val="00457A3F"/>
    <w:rsid w:val="004608B0"/>
    <w:rsid w:val="00460AAE"/>
    <w:rsid w:val="004613C3"/>
    <w:rsid w:val="00463A04"/>
    <w:rsid w:val="00464607"/>
    <w:rsid w:val="00465D50"/>
    <w:rsid w:val="00467620"/>
    <w:rsid w:val="004700D8"/>
    <w:rsid w:val="00471E44"/>
    <w:rsid w:val="0047395A"/>
    <w:rsid w:val="00477E55"/>
    <w:rsid w:val="00482CD2"/>
    <w:rsid w:val="00483420"/>
    <w:rsid w:val="0048450C"/>
    <w:rsid w:val="0048476A"/>
    <w:rsid w:val="00485AC4"/>
    <w:rsid w:val="004861AB"/>
    <w:rsid w:val="004873F1"/>
    <w:rsid w:val="00490643"/>
    <w:rsid w:val="00492756"/>
    <w:rsid w:val="00493806"/>
    <w:rsid w:val="004A10A2"/>
    <w:rsid w:val="004A26C2"/>
    <w:rsid w:val="004A43FD"/>
    <w:rsid w:val="004A5016"/>
    <w:rsid w:val="004A5F4B"/>
    <w:rsid w:val="004A681D"/>
    <w:rsid w:val="004A7661"/>
    <w:rsid w:val="004A787A"/>
    <w:rsid w:val="004A7B55"/>
    <w:rsid w:val="004A7F89"/>
    <w:rsid w:val="004B035D"/>
    <w:rsid w:val="004B0BF2"/>
    <w:rsid w:val="004B17CB"/>
    <w:rsid w:val="004B1F9C"/>
    <w:rsid w:val="004B33E2"/>
    <w:rsid w:val="004B4F2D"/>
    <w:rsid w:val="004B5265"/>
    <w:rsid w:val="004B6748"/>
    <w:rsid w:val="004C08AC"/>
    <w:rsid w:val="004C0C03"/>
    <w:rsid w:val="004C1A11"/>
    <w:rsid w:val="004C5142"/>
    <w:rsid w:val="004C5BBF"/>
    <w:rsid w:val="004D0400"/>
    <w:rsid w:val="004D2308"/>
    <w:rsid w:val="004D6CEA"/>
    <w:rsid w:val="004D754F"/>
    <w:rsid w:val="004E1E29"/>
    <w:rsid w:val="004E233D"/>
    <w:rsid w:val="004E2867"/>
    <w:rsid w:val="004F0E23"/>
    <w:rsid w:val="004F3F70"/>
    <w:rsid w:val="004F68B8"/>
    <w:rsid w:val="004F7F02"/>
    <w:rsid w:val="00500A9C"/>
    <w:rsid w:val="005049AE"/>
    <w:rsid w:val="005070C2"/>
    <w:rsid w:val="005142A8"/>
    <w:rsid w:val="00516EC5"/>
    <w:rsid w:val="005236A6"/>
    <w:rsid w:val="00524D91"/>
    <w:rsid w:val="005268AC"/>
    <w:rsid w:val="00531022"/>
    <w:rsid w:val="0053420D"/>
    <w:rsid w:val="00535F5E"/>
    <w:rsid w:val="0053702E"/>
    <w:rsid w:val="005370DF"/>
    <w:rsid w:val="0054166A"/>
    <w:rsid w:val="00543192"/>
    <w:rsid w:val="00546AE5"/>
    <w:rsid w:val="00547E22"/>
    <w:rsid w:val="0055067F"/>
    <w:rsid w:val="00550D90"/>
    <w:rsid w:val="00551549"/>
    <w:rsid w:val="0055348E"/>
    <w:rsid w:val="00554550"/>
    <w:rsid w:val="005633E9"/>
    <w:rsid w:val="005645D2"/>
    <w:rsid w:val="00566157"/>
    <w:rsid w:val="00566642"/>
    <w:rsid w:val="00571C8E"/>
    <w:rsid w:val="005742E1"/>
    <w:rsid w:val="00575565"/>
    <w:rsid w:val="005766AC"/>
    <w:rsid w:val="00584747"/>
    <w:rsid w:val="00586046"/>
    <w:rsid w:val="00587D4E"/>
    <w:rsid w:val="00593789"/>
    <w:rsid w:val="00594757"/>
    <w:rsid w:val="00596425"/>
    <w:rsid w:val="005A7167"/>
    <w:rsid w:val="005A7A3A"/>
    <w:rsid w:val="005A7ADD"/>
    <w:rsid w:val="005B0943"/>
    <w:rsid w:val="005B13A0"/>
    <w:rsid w:val="005B6CA3"/>
    <w:rsid w:val="005B7D79"/>
    <w:rsid w:val="005C01A5"/>
    <w:rsid w:val="005C0691"/>
    <w:rsid w:val="005C0F03"/>
    <w:rsid w:val="005C2963"/>
    <w:rsid w:val="005C451A"/>
    <w:rsid w:val="005C4557"/>
    <w:rsid w:val="005C4D6E"/>
    <w:rsid w:val="005C61D5"/>
    <w:rsid w:val="005C6560"/>
    <w:rsid w:val="005C665B"/>
    <w:rsid w:val="005D119E"/>
    <w:rsid w:val="005D2674"/>
    <w:rsid w:val="005D4066"/>
    <w:rsid w:val="005D50C5"/>
    <w:rsid w:val="005D5696"/>
    <w:rsid w:val="005E1534"/>
    <w:rsid w:val="005E1F20"/>
    <w:rsid w:val="005E2AC2"/>
    <w:rsid w:val="005E4454"/>
    <w:rsid w:val="005E44FB"/>
    <w:rsid w:val="005E6896"/>
    <w:rsid w:val="005F123A"/>
    <w:rsid w:val="005F48BC"/>
    <w:rsid w:val="005F683F"/>
    <w:rsid w:val="005F7BFB"/>
    <w:rsid w:val="005F7D7D"/>
    <w:rsid w:val="0060144E"/>
    <w:rsid w:val="00603067"/>
    <w:rsid w:val="0060664A"/>
    <w:rsid w:val="00611AB4"/>
    <w:rsid w:val="0061205E"/>
    <w:rsid w:val="006160EE"/>
    <w:rsid w:val="006168DB"/>
    <w:rsid w:val="006222B0"/>
    <w:rsid w:val="00624D61"/>
    <w:rsid w:val="006252A5"/>
    <w:rsid w:val="00626293"/>
    <w:rsid w:val="006274FB"/>
    <w:rsid w:val="006303DC"/>
    <w:rsid w:val="00630D8C"/>
    <w:rsid w:val="0063260E"/>
    <w:rsid w:val="00633651"/>
    <w:rsid w:val="00634D94"/>
    <w:rsid w:val="00641080"/>
    <w:rsid w:val="006415F2"/>
    <w:rsid w:val="00643372"/>
    <w:rsid w:val="006436BE"/>
    <w:rsid w:val="00644AB3"/>
    <w:rsid w:val="00651835"/>
    <w:rsid w:val="00652AF0"/>
    <w:rsid w:val="0065318A"/>
    <w:rsid w:val="0065461E"/>
    <w:rsid w:val="00654BA7"/>
    <w:rsid w:val="006558A5"/>
    <w:rsid w:val="00656265"/>
    <w:rsid w:val="006569C5"/>
    <w:rsid w:val="00657238"/>
    <w:rsid w:val="00657B32"/>
    <w:rsid w:val="00657EEC"/>
    <w:rsid w:val="00662517"/>
    <w:rsid w:val="00666FE5"/>
    <w:rsid w:val="00667782"/>
    <w:rsid w:val="006678AC"/>
    <w:rsid w:val="00671D30"/>
    <w:rsid w:val="00672555"/>
    <w:rsid w:val="00675BFE"/>
    <w:rsid w:val="00675E22"/>
    <w:rsid w:val="00680F33"/>
    <w:rsid w:val="00681D8B"/>
    <w:rsid w:val="00682A02"/>
    <w:rsid w:val="00684E46"/>
    <w:rsid w:val="006858B7"/>
    <w:rsid w:val="00685BD2"/>
    <w:rsid w:val="00691461"/>
    <w:rsid w:val="006932FE"/>
    <w:rsid w:val="00693B6A"/>
    <w:rsid w:val="006949E3"/>
    <w:rsid w:val="00696D3B"/>
    <w:rsid w:val="006A18BC"/>
    <w:rsid w:val="006A1F43"/>
    <w:rsid w:val="006A20E6"/>
    <w:rsid w:val="006A2AA7"/>
    <w:rsid w:val="006A3A5A"/>
    <w:rsid w:val="006B1586"/>
    <w:rsid w:val="006B3F96"/>
    <w:rsid w:val="006B5BFA"/>
    <w:rsid w:val="006B6A5F"/>
    <w:rsid w:val="006B746E"/>
    <w:rsid w:val="006C40C6"/>
    <w:rsid w:val="006C6592"/>
    <w:rsid w:val="006C69FE"/>
    <w:rsid w:val="006C704C"/>
    <w:rsid w:val="006D3E09"/>
    <w:rsid w:val="006D4801"/>
    <w:rsid w:val="006D4E26"/>
    <w:rsid w:val="006E401C"/>
    <w:rsid w:val="006E40C1"/>
    <w:rsid w:val="006E57BE"/>
    <w:rsid w:val="006E79AA"/>
    <w:rsid w:val="006F0957"/>
    <w:rsid w:val="006F2081"/>
    <w:rsid w:val="006F26E6"/>
    <w:rsid w:val="006F303C"/>
    <w:rsid w:val="006F3ED2"/>
    <w:rsid w:val="006F66E0"/>
    <w:rsid w:val="006F7CBB"/>
    <w:rsid w:val="007002BA"/>
    <w:rsid w:val="00702408"/>
    <w:rsid w:val="007025DB"/>
    <w:rsid w:val="00707BE7"/>
    <w:rsid w:val="00710A23"/>
    <w:rsid w:val="00712687"/>
    <w:rsid w:val="007126F3"/>
    <w:rsid w:val="00712C43"/>
    <w:rsid w:val="0071316A"/>
    <w:rsid w:val="007133A2"/>
    <w:rsid w:val="00713B35"/>
    <w:rsid w:val="00713E48"/>
    <w:rsid w:val="00714C03"/>
    <w:rsid w:val="0071603A"/>
    <w:rsid w:val="007171C3"/>
    <w:rsid w:val="00720F67"/>
    <w:rsid w:val="007241D2"/>
    <w:rsid w:val="00724539"/>
    <w:rsid w:val="007245CC"/>
    <w:rsid w:val="0072476B"/>
    <w:rsid w:val="00725DEC"/>
    <w:rsid w:val="00726B3D"/>
    <w:rsid w:val="00726D0D"/>
    <w:rsid w:val="00727FCA"/>
    <w:rsid w:val="00730D7A"/>
    <w:rsid w:val="00734350"/>
    <w:rsid w:val="007348B5"/>
    <w:rsid w:val="007350B5"/>
    <w:rsid w:val="0073533F"/>
    <w:rsid w:val="00741D77"/>
    <w:rsid w:val="007420F7"/>
    <w:rsid w:val="00744812"/>
    <w:rsid w:val="00746613"/>
    <w:rsid w:val="007474DC"/>
    <w:rsid w:val="0075026F"/>
    <w:rsid w:val="00750803"/>
    <w:rsid w:val="007535F1"/>
    <w:rsid w:val="00754142"/>
    <w:rsid w:val="007548B0"/>
    <w:rsid w:val="007554BA"/>
    <w:rsid w:val="0075746A"/>
    <w:rsid w:val="00757BF5"/>
    <w:rsid w:val="007607A1"/>
    <w:rsid w:val="007644D8"/>
    <w:rsid w:val="00764FCC"/>
    <w:rsid w:val="007675FD"/>
    <w:rsid w:val="0076794F"/>
    <w:rsid w:val="007707D5"/>
    <w:rsid w:val="00775497"/>
    <w:rsid w:val="00776005"/>
    <w:rsid w:val="00776009"/>
    <w:rsid w:val="00777F4B"/>
    <w:rsid w:val="00783C34"/>
    <w:rsid w:val="007860EA"/>
    <w:rsid w:val="007876EB"/>
    <w:rsid w:val="00791467"/>
    <w:rsid w:val="00791B1F"/>
    <w:rsid w:val="00792504"/>
    <w:rsid w:val="00794415"/>
    <w:rsid w:val="007945C1"/>
    <w:rsid w:val="007960CA"/>
    <w:rsid w:val="007964CC"/>
    <w:rsid w:val="007A0651"/>
    <w:rsid w:val="007A1BC6"/>
    <w:rsid w:val="007A221E"/>
    <w:rsid w:val="007A2865"/>
    <w:rsid w:val="007A61FA"/>
    <w:rsid w:val="007A63A9"/>
    <w:rsid w:val="007A7AA7"/>
    <w:rsid w:val="007B0C65"/>
    <w:rsid w:val="007B0C8F"/>
    <w:rsid w:val="007B2345"/>
    <w:rsid w:val="007B520F"/>
    <w:rsid w:val="007B6566"/>
    <w:rsid w:val="007B6631"/>
    <w:rsid w:val="007C1616"/>
    <w:rsid w:val="007C2E1C"/>
    <w:rsid w:val="007C5CAC"/>
    <w:rsid w:val="007D0582"/>
    <w:rsid w:val="007D4082"/>
    <w:rsid w:val="007D7152"/>
    <w:rsid w:val="007E5727"/>
    <w:rsid w:val="007F28F1"/>
    <w:rsid w:val="007F66F2"/>
    <w:rsid w:val="00800D68"/>
    <w:rsid w:val="00801667"/>
    <w:rsid w:val="0080252A"/>
    <w:rsid w:val="00802631"/>
    <w:rsid w:val="008037D7"/>
    <w:rsid w:val="00803DAA"/>
    <w:rsid w:val="00806477"/>
    <w:rsid w:val="00807FC3"/>
    <w:rsid w:val="00810173"/>
    <w:rsid w:val="0081074C"/>
    <w:rsid w:val="0081076D"/>
    <w:rsid w:val="00811219"/>
    <w:rsid w:val="008148B5"/>
    <w:rsid w:val="00817028"/>
    <w:rsid w:val="00817B74"/>
    <w:rsid w:val="008252ED"/>
    <w:rsid w:val="0082543D"/>
    <w:rsid w:val="008271C0"/>
    <w:rsid w:val="008279B7"/>
    <w:rsid w:val="008378E0"/>
    <w:rsid w:val="00840A60"/>
    <w:rsid w:val="00840F57"/>
    <w:rsid w:val="008416A8"/>
    <w:rsid w:val="008418B9"/>
    <w:rsid w:val="008439C8"/>
    <w:rsid w:val="008447C0"/>
    <w:rsid w:val="00844F28"/>
    <w:rsid w:val="00854A37"/>
    <w:rsid w:val="00854B6B"/>
    <w:rsid w:val="00855291"/>
    <w:rsid w:val="00855865"/>
    <w:rsid w:val="00856BB7"/>
    <w:rsid w:val="0086235B"/>
    <w:rsid w:val="008641D0"/>
    <w:rsid w:val="00865262"/>
    <w:rsid w:val="0087001A"/>
    <w:rsid w:val="00871322"/>
    <w:rsid w:val="00872FFF"/>
    <w:rsid w:val="00875104"/>
    <w:rsid w:val="00875306"/>
    <w:rsid w:val="00876DE9"/>
    <w:rsid w:val="00882162"/>
    <w:rsid w:val="00883719"/>
    <w:rsid w:val="00883949"/>
    <w:rsid w:val="00884823"/>
    <w:rsid w:val="00885CAF"/>
    <w:rsid w:val="00890093"/>
    <w:rsid w:val="00890B03"/>
    <w:rsid w:val="008914FD"/>
    <w:rsid w:val="008930DC"/>
    <w:rsid w:val="00893977"/>
    <w:rsid w:val="00895723"/>
    <w:rsid w:val="008A2295"/>
    <w:rsid w:val="008A4450"/>
    <w:rsid w:val="008A72D5"/>
    <w:rsid w:val="008A77BC"/>
    <w:rsid w:val="008B0704"/>
    <w:rsid w:val="008B1F5F"/>
    <w:rsid w:val="008B2003"/>
    <w:rsid w:val="008B229A"/>
    <w:rsid w:val="008B2427"/>
    <w:rsid w:val="008B2930"/>
    <w:rsid w:val="008B48F3"/>
    <w:rsid w:val="008B4BDF"/>
    <w:rsid w:val="008B57D5"/>
    <w:rsid w:val="008B6931"/>
    <w:rsid w:val="008B6AB4"/>
    <w:rsid w:val="008C0110"/>
    <w:rsid w:val="008C0CF3"/>
    <w:rsid w:val="008C19E0"/>
    <w:rsid w:val="008C35FB"/>
    <w:rsid w:val="008C65FD"/>
    <w:rsid w:val="008C7470"/>
    <w:rsid w:val="008D2625"/>
    <w:rsid w:val="008D51A8"/>
    <w:rsid w:val="008D5D35"/>
    <w:rsid w:val="008D6A3C"/>
    <w:rsid w:val="008D7792"/>
    <w:rsid w:val="008E2547"/>
    <w:rsid w:val="008E2603"/>
    <w:rsid w:val="008E275E"/>
    <w:rsid w:val="008E2D4E"/>
    <w:rsid w:val="008F1A9B"/>
    <w:rsid w:val="008F1EFF"/>
    <w:rsid w:val="008F5794"/>
    <w:rsid w:val="008F7129"/>
    <w:rsid w:val="008F7F47"/>
    <w:rsid w:val="008F7FBA"/>
    <w:rsid w:val="009031FF"/>
    <w:rsid w:val="0090611D"/>
    <w:rsid w:val="0091096C"/>
    <w:rsid w:val="0091301E"/>
    <w:rsid w:val="00915D7D"/>
    <w:rsid w:val="00922942"/>
    <w:rsid w:val="009247B7"/>
    <w:rsid w:val="009263AB"/>
    <w:rsid w:val="00926B94"/>
    <w:rsid w:val="00926FFE"/>
    <w:rsid w:val="00930CCA"/>
    <w:rsid w:val="00930E92"/>
    <w:rsid w:val="00936380"/>
    <w:rsid w:val="009414BC"/>
    <w:rsid w:val="00944E1C"/>
    <w:rsid w:val="0095235B"/>
    <w:rsid w:val="00952ECA"/>
    <w:rsid w:val="00953697"/>
    <w:rsid w:val="00953BC1"/>
    <w:rsid w:val="0095612D"/>
    <w:rsid w:val="00961451"/>
    <w:rsid w:val="0096175D"/>
    <w:rsid w:val="00962BEC"/>
    <w:rsid w:val="00963EA1"/>
    <w:rsid w:val="00964345"/>
    <w:rsid w:val="00964594"/>
    <w:rsid w:val="00964722"/>
    <w:rsid w:val="009651BF"/>
    <w:rsid w:val="009651F5"/>
    <w:rsid w:val="00966C86"/>
    <w:rsid w:val="00967785"/>
    <w:rsid w:val="009711EC"/>
    <w:rsid w:val="00975671"/>
    <w:rsid w:val="009760BF"/>
    <w:rsid w:val="00982297"/>
    <w:rsid w:val="00982715"/>
    <w:rsid w:val="00982BCC"/>
    <w:rsid w:val="009839C0"/>
    <w:rsid w:val="0098440C"/>
    <w:rsid w:val="00985F0A"/>
    <w:rsid w:val="00987079"/>
    <w:rsid w:val="00987490"/>
    <w:rsid w:val="00987AD7"/>
    <w:rsid w:val="00991721"/>
    <w:rsid w:val="009932A6"/>
    <w:rsid w:val="009939E4"/>
    <w:rsid w:val="0099565B"/>
    <w:rsid w:val="0099578A"/>
    <w:rsid w:val="009966F0"/>
    <w:rsid w:val="009A2937"/>
    <w:rsid w:val="009A2D75"/>
    <w:rsid w:val="009A6BFD"/>
    <w:rsid w:val="009A7156"/>
    <w:rsid w:val="009A7953"/>
    <w:rsid w:val="009A79C1"/>
    <w:rsid w:val="009B083C"/>
    <w:rsid w:val="009B4F7A"/>
    <w:rsid w:val="009B732F"/>
    <w:rsid w:val="009C051B"/>
    <w:rsid w:val="009C0F7A"/>
    <w:rsid w:val="009C137A"/>
    <w:rsid w:val="009C368B"/>
    <w:rsid w:val="009C63E8"/>
    <w:rsid w:val="009C6CB8"/>
    <w:rsid w:val="009C726B"/>
    <w:rsid w:val="009D0105"/>
    <w:rsid w:val="009D1889"/>
    <w:rsid w:val="009D2432"/>
    <w:rsid w:val="009D318E"/>
    <w:rsid w:val="009D41C9"/>
    <w:rsid w:val="009D43E9"/>
    <w:rsid w:val="009D614F"/>
    <w:rsid w:val="009D63EB"/>
    <w:rsid w:val="009D6972"/>
    <w:rsid w:val="009D7D2B"/>
    <w:rsid w:val="009E0FCA"/>
    <w:rsid w:val="009E21B9"/>
    <w:rsid w:val="009E505E"/>
    <w:rsid w:val="009E61EC"/>
    <w:rsid w:val="009F0EDF"/>
    <w:rsid w:val="009F0F5F"/>
    <w:rsid w:val="009F3618"/>
    <w:rsid w:val="009F37FF"/>
    <w:rsid w:val="009F4B51"/>
    <w:rsid w:val="00A00A7B"/>
    <w:rsid w:val="00A01306"/>
    <w:rsid w:val="00A02BAD"/>
    <w:rsid w:val="00A03E69"/>
    <w:rsid w:val="00A048A4"/>
    <w:rsid w:val="00A07874"/>
    <w:rsid w:val="00A07C6E"/>
    <w:rsid w:val="00A111F3"/>
    <w:rsid w:val="00A13BC7"/>
    <w:rsid w:val="00A149D8"/>
    <w:rsid w:val="00A20B2D"/>
    <w:rsid w:val="00A20DA0"/>
    <w:rsid w:val="00A218C5"/>
    <w:rsid w:val="00A21AFE"/>
    <w:rsid w:val="00A24E12"/>
    <w:rsid w:val="00A261C2"/>
    <w:rsid w:val="00A301B5"/>
    <w:rsid w:val="00A30ADD"/>
    <w:rsid w:val="00A31192"/>
    <w:rsid w:val="00A31351"/>
    <w:rsid w:val="00A3216C"/>
    <w:rsid w:val="00A32AE3"/>
    <w:rsid w:val="00A34CF2"/>
    <w:rsid w:val="00A37AC2"/>
    <w:rsid w:val="00A50464"/>
    <w:rsid w:val="00A505F4"/>
    <w:rsid w:val="00A51B99"/>
    <w:rsid w:val="00A52394"/>
    <w:rsid w:val="00A5256A"/>
    <w:rsid w:val="00A52642"/>
    <w:rsid w:val="00A54956"/>
    <w:rsid w:val="00A60D4C"/>
    <w:rsid w:val="00A60FA8"/>
    <w:rsid w:val="00A6136E"/>
    <w:rsid w:val="00A617AB"/>
    <w:rsid w:val="00A64008"/>
    <w:rsid w:val="00A64F70"/>
    <w:rsid w:val="00A655A7"/>
    <w:rsid w:val="00A66238"/>
    <w:rsid w:val="00A733E3"/>
    <w:rsid w:val="00A73E51"/>
    <w:rsid w:val="00A741CB"/>
    <w:rsid w:val="00A81BA5"/>
    <w:rsid w:val="00A84224"/>
    <w:rsid w:val="00A86856"/>
    <w:rsid w:val="00A87DC5"/>
    <w:rsid w:val="00A90BEA"/>
    <w:rsid w:val="00A922AC"/>
    <w:rsid w:val="00A948BF"/>
    <w:rsid w:val="00A94E5D"/>
    <w:rsid w:val="00A9593E"/>
    <w:rsid w:val="00AA2233"/>
    <w:rsid w:val="00AA4670"/>
    <w:rsid w:val="00AA71B4"/>
    <w:rsid w:val="00AA7DEB"/>
    <w:rsid w:val="00AB0CBA"/>
    <w:rsid w:val="00AB2FD3"/>
    <w:rsid w:val="00AB31B8"/>
    <w:rsid w:val="00AB3B06"/>
    <w:rsid w:val="00AB7750"/>
    <w:rsid w:val="00AC0211"/>
    <w:rsid w:val="00AC0FDC"/>
    <w:rsid w:val="00AC5374"/>
    <w:rsid w:val="00AC6BD7"/>
    <w:rsid w:val="00AC6E57"/>
    <w:rsid w:val="00AC70EF"/>
    <w:rsid w:val="00AC713F"/>
    <w:rsid w:val="00AD05FF"/>
    <w:rsid w:val="00AD1347"/>
    <w:rsid w:val="00AD5865"/>
    <w:rsid w:val="00AD637D"/>
    <w:rsid w:val="00AD6D53"/>
    <w:rsid w:val="00AE00C3"/>
    <w:rsid w:val="00AE02CF"/>
    <w:rsid w:val="00AE2282"/>
    <w:rsid w:val="00AE4C50"/>
    <w:rsid w:val="00AE69D1"/>
    <w:rsid w:val="00AE7A7A"/>
    <w:rsid w:val="00AF09FD"/>
    <w:rsid w:val="00AF0BF5"/>
    <w:rsid w:val="00AF14F2"/>
    <w:rsid w:val="00AF27C7"/>
    <w:rsid w:val="00AF53F5"/>
    <w:rsid w:val="00B00C07"/>
    <w:rsid w:val="00B02130"/>
    <w:rsid w:val="00B0452C"/>
    <w:rsid w:val="00B05AA3"/>
    <w:rsid w:val="00B07C08"/>
    <w:rsid w:val="00B167F7"/>
    <w:rsid w:val="00B202E3"/>
    <w:rsid w:val="00B2162A"/>
    <w:rsid w:val="00B21EB7"/>
    <w:rsid w:val="00B21F8C"/>
    <w:rsid w:val="00B25849"/>
    <w:rsid w:val="00B3053F"/>
    <w:rsid w:val="00B31865"/>
    <w:rsid w:val="00B33A8D"/>
    <w:rsid w:val="00B37283"/>
    <w:rsid w:val="00B40C58"/>
    <w:rsid w:val="00B414BF"/>
    <w:rsid w:val="00B42574"/>
    <w:rsid w:val="00B43769"/>
    <w:rsid w:val="00B44C2A"/>
    <w:rsid w:val="00B45144"/>
    <w:rsid w:val="00B477C7"/>
    <w:rsid w:val="00B47DED"/>
    <w:rsid w:val="00B501FA"/>
    <w:rsid w:val="00B50E5E"/>
    <w:rsid w:val="00B5232C"/>
    <w:rsid w:val="00B527A5"/>
    <w:rsid w:val="00B5547D"/>
    <w:rsid w:val="00B5646C"/>
    <w:rsid w:val="00B60383"/>
    <w:rsid w:val="00B60B4D"/>
    <w:rsid w:val="00B63C6E"/>
    <w:rsid w:val="00B65F79"/>
    <w:rsid w:val="00B70AA2"/>
    <w:rsid w:val="00B71C4B"/>
    <w:rsid w:val="00B71C6A"/>
    <w:rsid w:val="00B74435"/>
    <w:rsid w:val="00B77997"/>
    <w:rsid w:val="00B81ED0"/>
    <w:rsid w:val="00B84EE1"/>
    <w:rsid w:val="00B85D74"/>
    <w:rsid w:val="00B86285"/>
    <w:rsid w:val="00B93CC7"/>
    <w:rsid w:val="00BA16C5"/>
    <w:rsid w:val="00BA3F6E"/>
    <w:rsid w:val="00BA5937"/>
    <w:rsid w:val="00BB182E"/>
    <w:rsid w:val="00BB3D19"/>
    <w:rsid w:val="00BB4811"/>
    <w:rsid w:val="00BC16C6"/>
    <w:rsid w:val="00BC215F"/>
    <w:rsid w:val="00BC403F"/>
    <w:rsid w:val="00BC4478"/>
    <w:rsid w:val="00BC4973"/>
    <w:rsid w:val="00BC6105"/>
    <w:rsid w:val="00BD0857"/>
    <w:rsid w:val="00BD0F00"/>
    <w:rsid w:val="00BD196E"/>
    <w:rsid w:val="00BD2338"/>
    <w:rsid w:val="00BD2FEC"/>
    <w:rsid w:val="00BD4F8A"/>
    <w:rsid w:val="00BD5AB6"/>
    <w:rsid w:val="00BD7A6A"/>
    <w:rsid w:val="00BD7E0B"/>
    <w:rsid w:val="00BE0A82"/>
    <w:rsid w:val="00BE0BFA"/>
    <w:rsid w:val="00BE18C8"/>
    <w:rsid w:val="00BE2E24"/>
    <w:rsid w:val="00BE45B6"/>
    <w:rsid w:val="00BE553E"/>
    <w:rsid w:val="00BE5811"/>
    <w:rsid w:val="00BE6513"/>
    <w:rsid w:val="00BE6D13"/>
    <w:rsid w:val="00BE764B"/>
    <w:rsid w:val="00BF4903"/>
    <w:rsid w:val="00BF59B2"/>
    <w:rsid w:val="00BF5B7E"/>
    <w:rsid w:val="00BF65E7"/>
    <w:rsid w:val="00C0071D"/>
    <w:rsid w:val="00C0269B"/>
    <w:rsid w:val="00C05077"/>
    <w:rsid w:val="00C10037"/>
    <w:rsid w:val="00C10F04"/>
    <w:rsid w:val="00C1125A"/>
    <w:rsid w:val="00C146AE"/>
    <w:rsid w:val="00C14FB8"/>
    <w:rsid w:val="00C1533F"/>
    <w:rsid w:val="00C173F9"/>
    <w:rsid w:val="00C233C3"/>
    <w:rsid w:val="00C24141"/>
    <w:rsid w:val="00C24B30"/>
    <w:rsid w:val="00C30532"/>
    <w:rsid w:val="00C30D0F"/>
    <w:rsid w:val="00C32C13"/>
    <w:rsid w:val="00C3419A"/>
    <w:rsid w:val="00C40734"/>
    <w:rsid w:val="00C41817"/>
    <w:rsid w:val="00C4343A"/>
    <w:rsid w:val="00C4480E"/>
    <w:rsid w:val="00C46CEE"/>
    <w:rsid w:val="00C50B2F"/>
    <w:rsid w:val="00C54FCD"/>
    <w:rsid w:val="00C550CF"/>
    <w:rsid w:val="00C61915"/>
    <w:rsid w:val="00C61973"/>
    <w:rsid w:val="00C625B0"/>
    <w:rsid w:val="00C71329"/>
    <w:rsid w:val="00C74830"/>
    <w:rsid w:val="00C749D1"/>
    <w:rsid w:val="00C7656A"/>
    <w:rsid w:val="00C7731D"/>
    <w:rsid w:val="00C80D44"/>
    <w:rsid w:val="00C81A7C"/>
    <w:rsid w:val="00C81A87"/>
    <w:rsid w:val="00C841DA"/>
    <w:rsid w:val="00C84CA9"/>
    <w:rsid w:val="00C86DB2"/>
    <w:rsid w:val="00C86EE7"/>
    <w:rsid w:val="00C86F85"/>
    <w:rsid w:val="00C87AD8"/>
    <w:rsid w:val="00C94011"/>
    <w:rsid w:val="00C96482"/>
    <w:rsid w:val="00CA0C2F"/>
    <w:rsid w:val="00CA22E6"/>
    <w:rsid w:val="00CA258A"/>
    <w:rsid w:val="00CB4546"/>
    <w:rsid w:val="00CB49B2"/>
    <w:rsid w:val="00CB50C3"/>
    <w:rsid w:val="00CB7818"/>
    <w:rsid w:val="00CC0234"/>
    <w:rsid w:val="00CC0E0B"/>
    <w:rsid w:val="00CC19B2"/>
    <w:rsid w:val="00CC34B0"/>
    <w:rsid w:val="00CC3C51"/>
    <w:rsid w:val="00CC505B"/>
    <w:rsid w:val="00CC5E03"/>
    <w:rsid w:val="00CC659F"/>
    <w:rsid w:val="00CC797F"/>
    <w:rsid w:val="00CD01CC"/>
    <w:rsid w:val="00CD0E54"/>
    <w:rsid w:val="00CD1949"/>
    <w:rsid w:val="00CD3443"/>
    <w:rsid w:val="00CD5006"/>
    <w:rsid w:val="00CD5646"/>
    <w:rsid w:val="00CD73ED"/>
    <w:rsid w:val="00CE1018"/>
    <w:rsid w:val="00CE25A8"/>
    <w:rsid w:val="00CE2778"/>
    <w:rsid w:val="00CE2CF3"/>
    <w:rsid w:val="00CE3D35"/>
    <w:rsid w:val="00CE59B1"/>
    <w:rsid w:val="00CE6054"/>
    <w:rsid w:val="00CE7C17"/>
    <w:rsid w:val="00CF4DD1"/>
    <w:rsid w:val="00CF55DF"/>
    <w:rsid w:val="00D00409"/>
    <w:rsid w:val="00D02CD5"/>
    <w:rsid w:val="00D037F8"/>
    <w:rsid w:val="00D03B74"/>
    <w:rsid w:val="00D04D3A"/>
    <w:rsid w:val="00D05863"/>
    <w:rsid w:val="00D05D1F"/>
    <w:rsid w:val="00D0615C"/>
    <w:rsid w:val="00D06DDA"/>
    <w:rsid w:val="00D107B7"/>
    <w:rsid w:val="00D116B2"/>
    <w:rsid w:val="00D11CAF"/>
    <w:rsid w:val="00D14832"/>
    <w:rsid w:val="00D14FF9"/>
    <w:rsid w:val="00D17A89"/>
    <w:rsid w:val="00D225D0"/>
    <w:rsid w:val="00D23B27"/>
    <w:rsid w:val="00D244CF"/>
    <w:rsid w:val="00D25D85"/>
    <w:rsid w:val="00D2720B"/>
    <w:rsid w:val="00D30786"/>
    <w:rsid w:val="00D30F67"/>
    <w:rsid w:val="00D32B3E"/>
    <w:rsid w:val="00D34FE7"/>
    <w:rsid w:val="00D36834"/>
    <w:rsid w:val="00D36F6B"/>
    <w:rsid w:val="00D41B97"/>
    <w:rsid w:val="00D42FDC"/>
    <w:rsid w:val="00D44F81"/>
    <w:rsid w:val="00D5086B"/>
    <w:rsid w:val="00D52663"/>
    <w:rsid w:val="00D533F9"/>
    <w:rsid w:val="00D55E3B"/>
    <w:rsid w:val="00D56480"/>
    <w:rsid w:val="00D57CB7"/>
    <w:rsid w:val="00D65478"/>
    <w:rsid w:val="00D65D38"/>
    <w:rsid w:val="00D65DE2"/>
    <w:rsid w:val="00D70E8A"/>
    <w:rsid w:val="00D71E86"/>
    <w:rsid w:val="00D7279E"/>
    <w:rsid w:val="00D73178"/>
    <w:rsid w:val="00D7422B"/>
    <w:rsid w:val="00D755ED"/>
    <w:rsid w:val="00D75A69"/>
    <w:rsid w:val="00D7681A"/>
    <w:rsid w:val="00D823BE"/>
    <w:rsid w:val="00D82A4E"/>
    <w:rsid w:val="00D83660"/>
    <w:rsid w:val="00D86269"/>
    <w:rsid w:val="00D8716D"/>
    <w:rsid w:val="00D90127"/>
    <w:rsid w:val="00D91BB5"/>
    <w:rsid w:val="00D93809"/>
    <w:rsid w:val="00D955DB"/>
    <w:rsid w:val="00D965FA"/>
    <w:rsid w:val="00D973C4"/>
    <w:rsid w:val="00D9767B"/>
    <w:rsid w:val="00D97857"/>
    <w:rsid w:val="00DB234F"/>
    <w:rsid w:val="00DB26B5"/>
    <w:rsid w:val="00DB5DF8"/>
    <w:rsid w:val="00DC01CD"/>
    <w:rsid w:val="00DC049B"/>
    <w:rsid w:val="00DC17F9"/>
    <w:rsid w:val="00DC3A9E"/>
    <w:rsid w:val="00DD11D6"/>
    <w:rsid w:val="00DD5293"/>
    <w:rsid w:val="00DD5592"/>
    <w:rsid w:val="00DD77CF"/>
    <w:rsid w:val="00DE0DB9"/>
    <w:rsid w:val="00DE0E56"/>
    <w:rsid w:val="00DE1732"/>
    <w:rsid w:val="00DE2487"/>
    <w:rsid w:val="00DE3B79"/>
    <w:rsid w:val="00DE69D9"/>
    <w:rsid w:val="00DF0AC6"/>
    <w:rsid w:val="00DF0C87"/>
    <w:rsid w:val="00DF1BE3"/>
    <w:rsid w:val="00DF2252"/>
    <w:rsid w:val="00DF5C5F"/>
    <w:rsid w:val="00DF75DA"/>
    <w:rsid w:val="00E050AD"/>
    <w:rsid w:val="00E053EF"/>
    <w:rsid w:val="00E06B9F"/>
    <w:rsid w:val="00E11D73"/>
    <w:rsid w:val="00E12189"/>
    <w:rsid w:val="00E13EC8"/>
    <w:rsid w:val="00E1579F"/>
    <w:rsid w:val="00E17834"/>
    <w:rsid w:val="00E17E94"/>
    <w:rsid w:val="00E20B90"/>
    <w:rsid w:val="00E22E90"/>
    <w:rsid w:val="00E23201"/>
    <w:rsid w:val="00E23BD1"/>
    <w:rsid w:val="00E26A00"/>
    <w:rsid w:val="00E312B7"/>
    <w:rsid w:val="00E34CC1"/>
    <w:rsid w:val="00E368A8"/>
    <w:rsid w:val="00E40F58"/>
    <w:rsid w:val="00E45B6C"/>
    <w:rsid w:val="00E468D9"/>
    <w:rsid w:val="00E47633"/>
    <w:rsid w:val="00E47E49"/>
    <w:rsid w:val="00E52217"/>
    <w:rsid w:val="00E53F7E"/>
    <w:rsid w:val="00E56535"/>
    <w:rsid w:val="00E56DCB"/>
    <w:rsid w:val="00E57CF8"/>
    <w:rsid w:val="00E60228"/>
    <w:rsid w:val="00E657F5"/>
    <w:rsid w:val="00E65AE1"/>
    <w:rsid w:val="00E71526"/>
    <w:rsid w:val="00E72074"/>
    <w:rsid w:val="00E760C0"/>
    <w:rsid w:val="00E810A7"/>
    <w:rsid w:val="00E82A52"/>
    <w:rsid w:val="00E8353A"/>
    <w:rsid w:val="00E845C4"/>
    <w:rsid w:val="00E87349"/>
    <w:rsid w:val="00E90984"/>
    <w:rsid w:val="00E91296"/>
    <w:rsid w:val="00E91932"/>
    <w:rsid w:val="00E95A04"/>
    <w:rsid w:val="00E96A16"/>
    <w:rsid w:val="00E978DB"/>
    <w:rsid w:val="00EA0DDF"/>
    <w:rsid w:val="00EA204D"/>
    <w:rsid w:val="00EA2858"/>
    <w:rsid w:val="00EA4CBE"/>
    <w:rsid w:val="00EA5472"/>
    <w:rsid w:val="00EB01E0"/>
    <w:rsid w:val="00EB06FC"/>
    <w:rsid w:val="00EB08C6"/>
    <w:rsid w:val="00EB12D3"/>
    <w:rsid w:val="00EB1AFB"/>
    <w:rsid w:val="00EB222A"/>
    <w:rsid w:val="00EB26BC"/>
    <w:rsid w:val="00EB3831"/>
    <w:rsid w:val="00EB3861"/>
    <w:rsid w:val="00EB617E"/>
    <w:rsid w:val="00EB684A"/>
    <w:rsid w:val="00EB6F67"/>
    <w:rsid w:val="00EC1586"/>
    <w:rsid w:val="00EC2795"/>
    <w:rsid w:val="00EC2E76"/>
    <w:rsid w:val="00EC7D08"/>
    <w:rsid w:val="00ED0DA8"/>
    <w:rsid w:val="00ED0E72"/>
    <w:rsid w:val="00ED0E8A"/>
    <w:rsid w:val="00ED1AA9"/>
    <w:rsid w:val="00ED2E34"/>
    <w:rsid w:val="00ED4A1B"/>
    <w:rsid w:val="00ED52BF"/>
    <w:rsid w:val="00EE0921"/>
    <w:rsid w:val="00EE2AB9"/>
    <w:rsid w:val="00EE2E1D"/>
    <w:rsid w:val="00EE5319"/>
    <w:rsid w:val="00EE5A90"/>
    <w:rsid w:val="00EE6504"/>
    <w:rsid w:val="00EF2CC1"/>
    <w:rsid w:val="00EF592D"/>
    <w:rsid w:val="00EF5CC5"/>
    <w:rsid w:val="00EF7156"/>
    <w:rsid w:val="00F01AB9"/>
    <w:rsid w:val="00F02171"/>
    <w:rsid w:val="00F0317F"/>
    <w:rsid w:val="00F03F87"/>
    <w:rsid w:val="00F04FD7"/>
    <w:rsid w:val="00F05E02"/>
    <w:rsid w:val="00F1051B"/>
    <w:rsid w:val="00F108C0"/>
    <w:rsid w:val="00F10938"/>
    <w:rsid w:val="00F14EE7"/>
    <w:rsid w:val="00F22302"/>
    <w:rsid w:val="00F22979"/>
    <w:rsid w:val="00F26736"/>
    <w:rsid w:val="00F308E6"/>
    <w:rsid w:val="00F31EAC"/>
    <w:rsid w:val="00F320B1"/>
    <w:rsid w:val="00F33986"/>
    <w:rsid w:val="00F3497F"/>
    <w:rsid w:val="00F36613"/>
    <w:rsid w:val="00F41A0D"/>
    <w:rsid w:val="00F4263B"/>
    <w:rsid w:val="00F42D6A"/>
    <w:rsid w:val="00F4441C"/>
    <w:rsid w:val="00F45896"/>
    <w:rsid w:val="00F46B8D"/>
    <w:rsid w:val="00F47B57"/>
    <w:rsid w:val="00F52B7C"/>
    <w:rsid w:val="00F54232"/>
    <w:rsid w:val="00F5561E"/>
    <w:rsid w:val="00F5562F"/>
    <w:rsid w:val="00F559FC"/>
    <w:rsid w:val="00F5663A"/>
    <w:rsid w:val="00F60CED"/>
    <w:rsid w:val="00F6174D"/>
    <w:rsid w:val="00F64B17"/>
    <w:rsid w:val="00F663FD"/>
    <w:rsid w:val="00F676E0"/>
    <w:rsid w:val="00F67F27"/>
    <w:rsid w:val="00F70442"/>
    <w:rsid w:val="00F74595"/>
    <w:rsid w:val="00F74E5C"/>
    <w:rsid w:val="00F76CCE"/>
    <w:rsid w:val="00F81521"/>
    <w:rsid w:val="00F81563"/>
    <w:rsid w:val="00F81EC3"/>
    <w:rsid w:val="00F8267C"/>
    <w:rsid w:val="00F82FE0"/>
    <w:rsid w:val="00F83692"/>
    <w:rsid w:val="00F856A7"/>
    <w:rsid w:val="00F85A86"/>
    <w:rsid w:val="00F86BF6"/>
    <w:rsid w:val="00F9068D"/>
    <w:rsid w:val="00F90B30"/>
    <w:rsid w:val="00F94E9A"/>
    <w:rsid w:val="00F955DE"/>
    <w:rsid w:val="00F97119"/>
    <w:rsid w:val="00FA3028"/>
    <w:rsid w:val="00FA75AF"/>
    <w:rsid w:val="00FB1135"/>
    <w:rsid w:val="00FB1A91"/>
    <w:rsid w:val="00FB1CBE"/>
    <w:rsid w:val="00FB26AA"/>
    <w:rsid w:val="00FB343B"/>
    <w:rsid w:val="00FB3701"/>
    <w:rsid w:val="00FC152F"/>
    <w:rsid w:val="00FC1579"/>
    <w:rsid w:val="00FC439D"/>
    <w:rsid w:val="00FC54AD"/>
    <w:rsid w:val="00FC554D"/>
    <w:rsid w:val="00FC55A6"/>
    <w:rsid w:val="00FC6EB7"/>
    <w:rsid w:val="00FD002C"/>
    <w:rsid w:val="00FD3889"/>
    <w:rsid w:val="00FD71F7"/>
    <w:rsid w:val="00FD75C8"/>
    <w:rsid w:val="00FD7D44"/>
    <w:rsid w:val="00FE44FA"/>
    <w:rsid w:val="00FE52D6"/>
    <w:rsid w:val="00FE7AAA"/>
    <w:rsid w:val="00FF3AB4"/>
    <w:rsid w:val="00FF591B"/>
    <w:rsid w:val="00FF6DBC"/>
    <w:rsid w:val="6015CE1E"/>
    <w:rsid w:val="7BCF1C7C"/>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B76880F2-ACBA-4AB7-9E99-CB424E661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Default">
    <w:name w:val="Default"/>
    <w:uiPriority w:val="99"/>
    <w:rsid w:val="00FB1CBE"/>
    <w:pPr>
      <w:autoSpaceDE w:val="0"/>
      <w:autoSpaceDN w:val="0"/>
      <w:adjustRightInd w:val="0"/>
      <w:spacing w:after="0"/>
    </w:pPr>
    <w:rPr>
      <w:rFonts w:ascii="EucrosiaUPC" w:eastAsia="Times New Roman" w:hAnsi="Calibri" w:cs="EucrosiaUPC"/>
      <w:color w:val="000000"/>
      <w:lang w:bidi="th-TH"/>
    </w:rPr>
  </w:style>
  <w:style w:type="paragraph" w:styleId="Subtitle">
    <w:name w:val="Subtitle"/>
    <w:basedOn w:val="Normal"/>
    <w:link w:val="SubtitleChar"/>
    <w:qFormat/>
    <w:rsid w:val="00EC1586"/>
    <w:pPr>
      <w:spacing w:line="240" w:lineRule="auto"/>
      <w:jc w:val="both"/>
    </w:pPr>
    <w:rPr>
      <w:rFonts w:ascii="Angsana New" w:eastAsia="Times New Roman" w:hAnsi="Angsana New" w:cs="Angsana New"/>
      <w:color w:val="auto"/>
      <w:sz w:val="32"/>
      <w:szCs w:val="32"/>
      <w:lang w:bidi="th-TH"/>
    </w:rPr>
  </w:style>
  <w:style w:type="character" w:customStyle="1" w:styleId="SubtitleChar">
    <w:name w:val="Subtitle Char"/>
    <w:basedOn w:val="DefaultParagraphFont"/>
    <w:link w:val="Subtitle"/>
    <w:uiPriority w:val="99"/>
    <w:rsid w:val="00EC1586"/>
    <w:rPr>
      <w:rFonts w:ascii="Angsana New" w:eastAsia="Times New Roman" w:hAnsi="Angsana New" w:cs="Angsana New"/>
      <w:sz w:val="32"/>
      <w:szCs w:val="32"/>
      <w:lang w:bidi="th-TH"/>
    </w:rPr>
  </w:style>
  <w:style w:type="paragraph" w:customStyle="1" w:styleId="ReportHeading1">
    <w:name w:val="ReportHeading1"/>
    <w:basedOn w:val="Normal"/>
    <w:uiPriority w:val="99"/>
    <w:rsid w:val="00C96482"/>
    <w:pPr>
      <w:framePr w:w="6521" w:h="1055" w:hSpace="142" w:wrap="around" w:vAnchor="page" w:hAnchor="page" w:x="1441" w:y="4452"/>
      <w:spacing w:line="300" w:lineRule="atLeast"/>
    </w:pPr>
    <w:rPr>
      <w:rFonts w:ascii="Arial" w:eastAsia="Times New Roman" w:hAnsi="Arial" w:cs="Times New Roman"/>
      <w:b/>
      <w:bCs/>
      <w:color w:val="auto"/>
      <w:lang w:bidi="th-TH"/>
    </w:rPr>
  </w:style>
  <w:style w:type="paragraph" w:styleId="ListParagraph">
    <w:name w:val="List Paragraph"/>
    <w:basedOn w:val="Normal"/>
    <w:uiPriority w:val="34"/>
    <w:rsid w:val="00594757"/>
    <w:pPr>
      <w:ind w:left="720"/>
      <w:contextualSpacing/>
    </w:pPr>
  </w:style>
  <w:style w:type="paragraph" w:customStyle="1" w:styleId="CM2">
    <w:name w:val="CM2"/>
    <w:basedOn w:val="Normal"/>
    <w:next w:val="Normal"/>
    <w:uiPriority w:val="99"/>
    <w:rsid w:val="00BC6105"/>
    <w:pPr>
      <w:widowControl w:val="0"/>
      <w:autoSpaceDE w:val="0"/>
      <w:autoSpaceDN w:val="0"/>
      <w:adjustRightInd w:val="0"/>
      <w:spacing w:line="240" w:lineRule="auto"/>
    </w:pPr>
    <w:rPr>
      <w:rFonts w:ascii="Calibri" w:eastAsia="Times New Roman" w:hAnsi="Calibri" w:cs="EucrosiaUPC"/>
      <w:color w:val="auto"/>
      <w:lang w:bidi="th-TH"/>
    </w:rPr>
  </w:style>
  <w:style w:type="paragraph" w:styleId="Revision">
    <w:name w:val="Revision"/>
    <w:hidden/>
    <w:uiPriority w:val="99"/>
    <w:semiHidden/>
    <w:rsid w:val="00385863"/>
    <w:pPr>
      <w:spacing w:after="0"/>
    </w:pPr>
    <w:rPr>
      <w:color w:val="0F378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993936">
      <w:bodyDiv w:val="1"/>
      <w:marLeft w:val="0"/>
      <w:marRight w:val="0"/>
      <w:marTop w:val="0"/>
      <w:marBottom w:val="0"/>
      <w:divBdr>
        <w:top w:val="none" w:sz="0" w:space="0" w:color="auto"/>
        <w:left w:val="none" w:sz="0" w:space="0" w:color="auto"/>
        <w:bottom w:val="none" w:sz="0" w:space="0" w:color="auto"/>
        <w:right w:val="none" w:sz="0" w:space="0" w:color="auto"/>
      </w:divBdr>
    </w:div>
    <w:div w:id="481507241">
      <w:bodyDiv w:val="1"/>
      <w:marLeft w:val="0"/>
      <w:marRight w:val="0"/>
      <w:marTop w:val="0"/>
      <w:marBottom w:val="0"/>
      <w:divBdr>
        <w:top w:val="none" w:sz="0" w:space="0" w:color="auto"/>
        <w:left w:val="none" w:sz="0" w:space="0" w:color="auto"/>
        <w:bottom w:val="none" w:sz="0" w:space="0" w:color="auto"/>
        <w:right w:val="none" w:sz="0" w:space="0" w:color="auto"/>
      </w:divBdr>
    </w:div>
    <w:div w:id="531578499">
      <w:bodyDiv w:val="1"/>
      <w:marLeft w:val="0"/>
      <w:marRight w:val="0"/>
      <w:marTop w:val="0"/>
      <w:marBottom w:val="0"/>
      <w:divBdr>
        <w:top w:val="none" w:sz="0" w:space="0" w:color="auto"/>
        <w:left w:val="none" w:sz="0" w:space="0" w:color="auto"/>
        <w:bottom w:val="none" w:sz="0" w:space="0" w:color="auto"/>
        <w:right w:val="none" w:sz="0" w:space="0" w:color="auto"/>
      </w:divBdr>
    </w:div>
    <w:div w:id="734864450">
      <w:bodyDiv w:val="1"/>
      <w:marLeft w:val="0"/>
      <w:marRight w:val="0"/>
      <w:marTop w:val="0"/>
      <w:marBottom w:val="0"/>
      <w:divBdr>
        <w:top w:val="none" w:sz="0" w:space="0" w:color="auto"/>
        <w:left w:val="none" w:sz="0" w:space="0" w:color="auto"/>
        <w:bottom w:val="none" w:sz="0" w:space="0" w:color="auto"/>
        <w:right w:val="none" w:sz="0" w:space="0" w:color="auto"/>
      </w:divBdr>
    </w:div>
    <w:div w:id="830369883">
      <w:bodyDiv w:val="1"/>
      <w:marLeft w:val="0"/>
      <w:marRight w:val="0"/>
      <w:marTop w:val="0"/>
      <w:marBottom w:val="0"/>
      <w:divBdr>
        <w:top w:val="none" w:sz="0" w:space="0" w:color="auto"/>
        <w:left w:val="none" w:sz="0" w:space="0" w:color="auto"/>
        <w:bottom w:val="none" w:sz="0" w:space="0" w:color="auto"/>
        <w:right w:val="none" w:sz="0" w:space="0" w:color="auto"/>
      </w:divBdr>
    </w:div>
    <w:div w:id="862203808">
      <w:bodyDiv w:val="1"/>
      <w:marLeft w:val="0"/>
      <w:marRight w:val="0"/>
      <w:marTop w:val="0"/>
      <w:marBottom w:val="0"/>
      <w:divBdr>
        <w:top w:val="none" w:sz="0" w:space="0" w:color="auto"/>
        <w:left w:val="none" w:sz="0" w:space="0" w:color="auto"/>
        <w:bottom w:val="none" w:sz="0" w:space="0" w:color="auto"/>
        <w:right w:val="none" w:sz="0" w:space="0" w:color="auto"/>
      </w:divBdr>
    </w:div>
    <w:div w:id="950672473">
      <w:bodyDiv w:val="1"/>
      <w:marLeft w:val="0"/>
      <w:marRight w:val="0"/>
      <w:marTop w:val="0"/>
      <w:marBottom w:val="0"/>
      <w:divBdr>
        <w:top w:val="none" w:sz="0" w:space="0" w:color="auto"/>
        <w:left w:val="none" w:sz="0" w:space="0" w:color="auto"/>
        <w:bottom w:val="none" w:sz="0" w:space="0" w:color="auto"/>
        <w:right w:val="none" w:sz="0" w:space="0" w:color="auto"/>
      </w:divBdr>
    </w:div>
    <w:div w:id="1436369504">
      <w:bodyDiv w:val="1"/>
      <w:marLeft w:val="0"/>
      <w:marRight w:val="0"/>
      <w:marTop w:val="0"/>
      <w:marBottom w:val="0"/>
      <w:divBdr>
        <w:top w:val="none" w:sz="0" w:space="0" w:color="auto"/>
        <w:left w:val="none" w:sz="0" w:space="0" w:color="auto"/>
        <w:bottom w:val="none" w:sz="0" w:space="0" w:color="auto"/>
        <w:right w:val="none" w:sz="0" w:space="0" w:color="auto"/>
      </w:divBdr>
    </w:div>
    <w:div w:id="1442214830">
      <w:bodyDiv w:val="1"/>
      <w:marLeft w:val="0"/>
      <w:marRight w:val="0"/>
      <w:marTop w:val="0"/>
      <w:marBottom w:val="0"/>
      <w:divBdr>
        <w:top w:val="none" w:sz="0" w:space="0" w:color="auto"/>
        <w:left w:val="none" w:sz="0" w:space="0" w:color="auto"/>
        <w:bottom w:val="none" w:sz="0" w:space="0" w:color="auto"/>
        <w:right w:val="none" w:sz="0" w:space="0" w:color="auto"/>
      </w:divBdr>
    </w:div>
    <w:div w:id="1717242343">
      <w:bodyDiv w:val="1"/>
      <w:marLeft w:val="0"/>
      <w:marRight w:val="0"/>
      <w:marTop w:val="0"/>
      <w:marBottom w:val="0"/>
      <w:divBdr>
        <w:top w:val="none" w:sz="0" w:space="0" w:color="auto"/>
        <w:left w:val="none" w:sz="0" w:space="0" w:color="auto"/>
        <w:bottom w:val="none" w:sz="0" w:space="0" w:color="auto"/>
        <w:right w:val="none" w:sz="0" w:space="0" w:color="auto"/>
      </w:divBdr>
    </w:div>
    <w:div w:id="18823952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67db3e-bcde-4c1e-993b-80842e4ffbef">
      <Terms xmlns="http://schemas.microsoft.com/office/infopath/2007/PartnerControls"/>
    </lcf76f155ced4ddcb4097134ff3c332f>
    <TaxCatchAll xmlns="62d2ef28-837b-4332-b87c-36b8c9c39d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5C65DA70E129384392E06B3A50DB3E37" ma:contentTypeVersion="11" ma:contentTypeDescription="สร้างเอกสารใหม่" ma:contentTypeScope="" ma:versionID="8fa28fa21e78093f10a993a88e1d4f4c">
  <xsd:schema xmlns:xsd="http://www.w3.org/2001/XMLSchema" xmlns:xs="http://www.w3.org/2001/XMLSchema" xmlns:p="http://schemas.microsoft.com/office/2006/metadata/properties" xmlns:ns2="4f67db3e-bcde-4c1e-993b-80842e4ffbef" xmlns:ns3="62d2ef28-837b-4332-b87c-36b8c9c39dda" targetNamespace="http://schemas.microsoft.com/office/2006/metadata/properties" ma:root="true" ma:fieldsID="47a5868296d6e930f582c0a87549d872" ns2:_="" ns3:_="">
    <xsd:import namespace="4f67db3e-bcde-4c1e-993b-80842e4ffbef"/>
    <xsd:import namespace="62d2ef28-837b-4332-b87c-36b8c9c39d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7db3e-bcde-4c1e-993b-80842e4ffb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2d2ef28-837b-4332-b87c-36b8c9c39dd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5db110-c373-4dc6-acf8-21b52278b43e}" ma:internalName="TaxCatchAll" ma:showField="CatchAllData" ma:web="62d2ef28-837b-4332-b87c-36b8c9c39d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2.xml><?xml version="1.0" encoding="utf-8"?>
<ds:datastoreItem xmlns:ds="http://schemas.openxmlformats.org/officeDocument/2006/customXml" ds:itemID="{FD2A8F15-69F3-41BA-B855-24B344B6ADD5}">
  <ds:schemaRefs>
    <ds:schemaRef ds:uri="http://schemas.microsoft.com/office/2006/documentManagement/types"/>
    <ds:schemaRef ds:uri="http://purl.org/dc/elements/1.1/"/>
    <ds:schemaRef ds:uri="http://schemas.openxmlformats.org/package/2006/metadata/core-properties"/>
    <ds:schemaRef ds:uri="62d2ef28-837b-4332-b87c-36b8c9c39dda"/>
    <ds:schemaRef ds:uri="4f67db3e-bcde-4c1e-993b-80842e4ffbef"/>
    <ds:schemaRef ds:uri="http://schemas.microsoft.com/office/2006/metadata/properties"/>
    <ds:schemaRef ds:uri="http://purl.org/dc/term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44B1E278-9201-4F88-A752-5E092904C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7db3e-bcde-4c1e-993b-80842e4ffbef"/>
    <ds:schemaRef ds:uri="62d2ef28-837b-4332-b87c-36b8c9c39d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831775-63AC-47CA-84AC-F052471831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10</Pages>
  <Words>4501</Words>
  <Characters>24852</Characters>
  <Application>Microsoft Office Word</Application>
  <DocSecurity>0</DocSecurity>
  <Lines>370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Ornnicha Sanamchaisakul</cp:lastModifiedBy>
  <cp:revision>390</cp:revision>
  <cp:lastPrinted>2025-12-25T05:14:00Z</cp:lastPrinted>
  <dcterms:created xsi:type="dcterms:W3CDTF">2025-05-15T23:06:00Z</dcterms:created>
  <dcterms:modified xsi:type="dcterms:W3CDTF">2025-12-25T12:52:00Z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0x0101005C65DA70E129384392E06B3A50DB3E37</vt:lpwstr>
  </property>
  <property fmtid="{D5CDD505-2E9C-101B-9397-08002B2CF9AE}" pid="3" name="MediaServiceImageTags">
    <vt:lpwstr/>
  </property>
</Properties>
</file>