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9C1387" w:rsidRPr="00C1558B" w14:paraId="713A0E17" w14:textId="77777777" w:rsidTr="00146DE8">
        <w:trPr>
          <w:trHeight w:val="2865"/>
        </w:trPr>
        <w:tc>
          <w:tcPr>
            <w:tcW w:w="2718" w:type="dxa"/>
          </w:tcPr>
          <w:p w14:paraId="51393FED" w14:textId="77777777" w:rsidR="009C1387" w:rsidRPr="00C1558B" w:rsidRDefault="009C1387" w:rsidP="004E0109">
            <w:pPr>
              <w:rPr>
                <w:rFonts w:ascii="Angsana New" w:hAnsi="Angsana New" w:cs="Cordia New"/>
                <w:sz w:val="36"/>
                <w:szCs w:val="36"/>
              </w:rPr>
            </w:pPr>
          </w:p>
        </w:tc>
        <w:tc>
          <w:tcPr>
            <w:tcW w:w="6960" w:type="dxa"/>
            <w:vAlign w:val="center"/>
          </w:tcPr>
          <w:p w14:paraId="1C564BF4" w14:textId="55DD3780" w:rsidR="009C1387" w:rsidRPr="00C1558B" w:rsidRDefault="00673FDA" w:rsidP="00146DE8">
            <w:pPr>
              <w:spacing w:line="380" w:lineRule="exact"/>
              <w:ind w:left="-14" w:right="-45"/>
              <w:rPr>
                <w:rFonts w:hAnsi="Times New Roman" w:cs="Times New Roman"/>
                <w:color w:val="7F7E82"/>
                <w:sz w:val="28"/>
                <w:szCs w:val="28"/>
              </w:rPr>
            </w:pPr>
            <w:r w:rsidRPr="00C1558B">
              <w:rPr>
                <w:rFonts w:hAnsi="Times New Roman" w:cs="Times New Roman"/>
                <w:color w:val="7F7E82"/>
                <w:sz w:val="28"/>
                <w:szCs w:val="28"/>
              </w:rPr>
              <w:t>BKI Holdings Public Company Limited and its subsidiary</w:t>
            </w:r>
          </w:p>
          <w:p w14:paraId="35AC95D9" w14:textId="22A71014" w:rsidR="009C1387" w:rsidRPr="00C1558B" w:rsidRDefault="0061437C" w:rsidP="00146DE8">
            <w:pPr>
              <w:tabs>
                <w:tab w:val="left" w:pos="5472"/>
              </w:tabs>
              <w:spacing w:line="380" w:lineRule="exact"/>
              <w:ind w:left="-14" w:right="-43"/>
              <w:rPr>
                <w:rFonts w:hAnsi="Times New Roman" w:cstheme="minorBidi"/>
                <w:color w:val="7F7E82"/>
                <w:sz w:val="28"/>
                <w:szCs w:val="28"/>
              </w:rPr>
            </w:pPr>
            <w:r w:rsidRPr="00C1558B">
              <w:rPr>
                <w:rFonts w:hAnsi="Times New Roman" w:cs="Times New Roman"/>
                <w:color w:val="7F7E82"/>
                <w:sz w:val="28"/>
                <w:szCs w:val="28"/>
              </w:rPr>
              <w:t>Report and consolidated and separate financial statements</w:t>
            </w:r>
          </w:p>
          <w:p w14:paraId="38FD873D" w14:textId="0587CC1A" w:rsidR="009C1387" w:rsidRPr="00C1558B" w:rsidRDefault="00D041F9" w:rsidP="006D6F52">
            <w:pPr>
              <w:spacing w:line="380" w:lineRule="exact"/>
              <w:ind w:left="-14"/>
              <w:rPr>
                <w:rFonts w:hAnsi="Times New Roman" w:cs="Times New Roman"/>
                <w:color w:val="7F7E82"/>
                <w:sz w:val="28"/>
                <w:szCs w:val="28"/>
              </w:rPr>
            </w:pPr>
            <w:r w:rsidRPr="00C1558B">
              <w:rPr>
                <w:rFonts w:hAnsi="Times New Roman" w:cs="Times New Roman"/>
                <w:color w:val="7F7E82"/>
                <w:sz w:val="28"/>
                <w:szCs w:val="28"/>
              </w:rPr>
              <w:t>3</w:t>
            </w:r>
            <w:r w:rsidR="003E6913" w:rsidRPr="00C1558B">
              <w:rPr>
                <w:rFonts w:hAnsi="Times New Roman" w:cs="Times New Roman"/>
                <w:color w:val="7F7E82"/>
                <w:sz w:val="28"/>
                <w:szCs w:val="28"/>
              </w:rPr>
              <w:t>1</w:t>
            </w:r>
            <w:r w:rsidRPr="00C1558B">
              <w:rPr>
                <w:rFonts w:hAnsi="Times New Roman" w:cs="Times New Roman"/>
                <w:color w:val="7F7E82"/>
                <w:sz w:val="28"/>
                <w:szCs w:val="28"/>
              </w:rPr>
              <w:t xml:space="preserve"> </w:t>
            </w:r>
            <w:r w:rsidR="003E6913" w:rsidRPr="00C1558B">
              <w:rPr>
                <w:rFonts w:hAnsi="Times New Roman" w:cs="Times New Roman"/>
                <w:color w:val="7F7E82"/>
                <w:sz w:val="28"/>
                <w:szCs w:val="28"/>
              </w:rPr>
              <w:t>Decem</w:t>
            </w:r>
            <w:r w:rsidR="00D5614B" w:rsidRPr="00C1558B">
              <w:rPr>
                <w:rFonts w:hAnsi="Times New Roman" w:cs="Times New Roman"/>
                <w:color w:val="7F7E82"/>
                <w:sz w:val="28"/>
                <w:szCs w:val="28"/>
              </w:rPr>
              <w:t>ber</w:t>
            </w:r>
            <w:r w:rsidRPr="00C1558B">
              <w:rPr>
                <w:rFonts w:hAnsi="Times New Roman" w:cs="Times New Roman"/>
                <w:color w:val="7F7E82"/>
                <w:sz w:val="28"/>
                <w:szCs w:val="28"/>
              </w:rPr>
              <w:t xml:space="preserve"> </w:t>
            </w:r>
            <w:r w:rsidR="000E7101" w:rsidRPr="00C1558B">
              <w:rPr>
                <w:rFonts w:hAnsi="Times New Roman" w:cs="Times New Roman"/>
                <w:color w:val="7F7E82"/>
                <w:sz w:val="28"/>
                <w:szCs w:val="28"/>
              </w:rPr>
              <w:t>202</w:t>
            </w:r>
            <w:r w:rsidR="009B2B22" w:rsidRPr="00C1558B">
              <w:rPr>
                <w:rFonts w:hAnsi="Times New Roman" w:cs="Times New Roman"/>
                <w:color w:val="7F7E82"/>
                <w:sz w:val="28"/>
                <w:szCs w:val="28"/>
              </w:rPr>
              <w:t>5</w:t>
            </w:r>
          </w:p>
        </w:tc>
      </w:tr>
    </w:tbl>
    <w:p w14:paraId="5B3B8DE0" w14:textId="77777777" w:rsidR="009C1387" w:rsidRPr="00C1558B" w:rsidRDefault="009C1387" w:rsidP="009C1387">
      <w:pPr>
        <w:sectPr w:rsidR="009C1387" w:rsidRPr="00C1558B" w:rsidSect="00C1558B">
          <w:pgSz w:w="11907" w:h="16840" w:code="9"/>
          <w:pgMar w:top="3600" w:right="1080" w:bottom="8640" w:left="360" w:header="720" w:footer="720" w:gutter="0"/>
          <w:cols w:space="720"/>
          <w:docGrid w:linePitch="360"/>
        </w:sectPr>
      </w:pPr>
    </w:p>
    <w:p w14:paraId="16BEBE97" w14:textId="5C68BDA3" w:rsidR="005348DC" w:rsidRPr="00C1558B" w:rsidRDefault="00660CB4" w:rsidP="00AC7BF0">
      <w:pPr>
        <w:spacing w:line="380" w:lineRule="exact"/>
        <w:rPr>
          <w:rFonts w:ascii="Arial" w:hAnsi="Arial"/>
          <w:sz w:val="22"/>
          <w:szCs w:val="22"/>
        </w:rPr>
      </w:pPr>
      <w:r w:rsidRPr="00C1558B">
        <w:rPr>
          <w:rFonts w:ascii="Arial" w:hAnsi="Arial"/>
          <w:b/>
          <w:bCs/>
          <w:sz w:val="22"/>
          <w:szCs w:val="22"/>
        </w:rPr>
        <w:lastRenderedPageBreak/>
        <w:t>Independent Auditor’s Report</w:t>
      </w:r>
    </w:p>
    <w:p w14:paraId="2EA27622" w14:textId="107204B1" w:rsidR="005348DC" w:rsidRPr="00C1558B" w:rsidRDefault="009C1387" w:rsidP="00AC7BF0">
      <w:pPr>
        <w:spacing w:line="380" w:lineRule="exact"/>
        <w:rPr>
          <w:rFonts w:ascii="Arial" w:hAnsi="Arial"/>
          <w:sz w:val="22"/>
          <w:szCs w:val="22"/>
        </w:rPr>
      </w:pPr>
      <w:r w:rsidRPr="00C1558B">
        <w:rPr>
          <w:rFonts w:ascii="Arial" w:hAnsi="Arial"/>
          <w:sz w:val="22"/>
          <w:szCs w:val="22"/>
        </w:rPr>
        <w:t xml:space="preserve">To the </w:t>
      </w:r>
      <w:r w:rsidR="00210494" w:rsidRPr="00C1558B">
        <w:rPr>
          <w:rFonts w:ascii="Arial" w:hAnsi="Arial"/>
          <w:sz w:val="22"/>
          <w:szCs w:val="22"/>
        </w:rPr>
        <w:t>S</w:t>
      </w:r>
      <w:r w:rsidR="005348DC" w:rsidRPr="00C1558B">
        <w:rPr>
          <w:rFonts w:ascii="Arial" w:hAnsi="Arial"/>
          <w:sz w:val="22"/>
          <w:szCs w:val="22"/>
        </w:rPr>
        <w:t>hareholders of</w:t>
      </w:r>
      <w:r w:rsidR="00E6305E" w:rsidRPr="00C1558B">
        <w:rPr>
          <w:rFonts w:ascii="Arial" w:hAnsi="Arial"/>
          <w:sz w:val="22"/>
          <w:szCs w:val="22"/>
        </w:rPr>
        <w:t xml:space="preserve"> </w:t>
      </w:r>
      <w:r w:rsidR="00D5614B" w:rsidRPr="00C1558B">
        <w:rPr>
          <w:rFonts w:ascii="Arial" w:hAnsi="Arial"/>
          <w:sz w:val="22"/>
          <w:szCs w:val="22"/>
        </w:rPr>
        <w:t>BKI Holdings Public Company Limited</w:t>
      </w:r>
    </w:p>
    <w:p w14:paraId="0B3874AB" w14:textId="77777777" w:rsidR="0038321F" w:rsidRPr="00C1558B" w:rsidRDefault="0038321F" w:rsidP="00C1558B">
      <w:pPr>
        <w:overflowPunct/>
        <w:autoSpaceDE/>
        <w:autoSpaceDN/>
        <w:adjustRightInd/>
        <w:spacing w:before="360" w:after="120" w:line="380" w:lineRule="exact"/>
        <w:textAlignment w:val="auto"/>
        <w:rPr>
          <w:rFonts w:ascii="Arial" w:hAnsi="Arial" w:cs="Arial"/>
          <w:b/>
          <w:bCs/>
          <w:color w:val="000000"/>
          <w:sz w:val="22"/>
          <w:szCs w:val="22"/>
        </w:rPr>
      </w:pPr>
      <w:r w:rsidRPr="00C1558B">
        <w:rPr>
          <w:rFonts w:ascii="Arial" w:hAnsi="Arial" w:cs="Arial"/>
          <w:b/>
          <w:bCs/>
          <w:color w:val="000000"/>
          <w:sz w:val="22"/>
          <w:szCs w:val="22"/>
        </w:rPr>
        <w:t>Opinion</w:t>
      </w:r>
    </w:p>
    <w:p w14:paraId="31EA1F30" w14:textId="136714B9" w:rsidR="00B450A6" w:rsidRPr="00C1558B" w:rsidRDefault="0038321F" w:rsidP="00C1558B">
      <w:pPr>
        <w:spacing w:before="120" w:after="120" w:line="380" w:lineRule="exact"/>
        <w:ind w:right="-43"/>
        <w:rPr>
          <w:rFonts w:ascii="Arial" w:hAnsi="Arial" w:cs="Arial"/>
          <w:sz w:val="22"/>
          <w:szCs w:val="22"/>
        </w:rPr>
      </w:pPr>
      <w:r w:rsidRPr="00C1558B">
        <w:rPr>
          <w:rFonts w:ascii="Arial" w:hAnsi="Arial" w:cs="Arial"/>
          <w:sz w:val="22"/>
          <w:szCs w:val="22"/>
        </w:rPr>
        <w:t xml:space="preserve">I have audited the accompanying </w:t>
      </w:r>
      <w:r w:rsidR="00B450A6" w:rsidRPr="00C1558B">
        <w:rPr>
          <w:rFonts w:ascii="Arial" w:hAnsi="Arial" w:cs="Arial"/>
          <w:sz w:val="22"/>
          <w:szCs w:val="22"/>
        </w:rPr>
        <w:t xml:space="preserve">consolidated </w:t>
      </w:r>
      <w:r w:rsidRPr="00C1558B">
        <w:rPr>
          <w:rFonts w:ascii="Arial" w:hAnsi="Arial" w:cs="Arial"/>
          <w:sz w:val="22"/>
          <w:szCs w:val="22"/>
        </w:rPr>
        <w:t xml:space="preserve">financial statements of </w:t>
      </w:r>
      <w:r w:rsidR="00095D6B" w:rsidRPr="00C1558B">
        <w:rPr>
          <w:rFonts w:ascii="Arial" w:hAnsi="Arial"/>
          <w:sz w:val="22"/>
          <w:szCs w:val="22"/>
        </w:rPr>
        <w:t>BKI</w:t>
      </w:r>
      <w:r w:rsidRPr="00C1558B">
        <w:rPr>
          <w:rFonts w:ascii="Arial" w:hAnsi="Arial"/>
          <w:sz w:val="22"/>
          <w:szCs w:val="22"/>
        </w:rPr>
        <w:t xml:space="preserve"> Holdings Public Company Limited</w:t>
      </w:r>
      <w:r w:rsidR="00677DA1" w:rsidRPr="00C1558B">
        <w:rPr>
          <w:rFonts w:ascii="Arial" w:hAnsi="Arial" w:hint="cs"/>
          <w:sz w:val="22"/>
          <w:szCs w:val="22"/>
          <w:cs/>
        </w:rPr>
        <w:t xml:space="preserve"> </w:t>
      </w:r>
      <w:r w:rsidR="00401D0C" w:rsidRPr="00C1558B">
        <w:rPr>
          <w:rFonts w:ascii="Arial" w:hAnsi="Arial"/>
          <w:sz w:val="22"/>
          <w:szCs w:val="22"/>
        </w:rPr>
        <w:t>and its subsidiary (</w:t>
      </w:r>
      <w:r w:rsidR="00B927DA" w:rsidRPr="00C1558B">
        <w:rPr>
          <w:rFonts w:ascii="Arial" w:hAnsi="Arial"/>
          <w:sz w:val="22"/>
          <w:szCs w:val="22"/>
        </w:rPr>
        <w:t>“</w:t>
      </w:r>
      <w:r w:rsidR="00401D0C" w:rsidRPr="00C1558B">
        <w:rPr>
          <w:rFonts w:ascii="Arial" w:hAnsi="Arial"/>
          <w:sz w:val="22"/>
          <w:szCs w:val="22"/>
        </w:rPr>
        <w:t>the Group</w:t>
      </w:r>
      <w:r w:rsidR="00B927DA" w:rsidRPr="00C1558B">
        <w:rPr>
          <w:rFonts w:ascii="Arial" w:hAnsi="Arial"/>
          <w:sz w:val="22"/>
          <w:szCs w:val="22"/>
        </w:rPr>
        <w:t>”</w:t>
      </w:r>
      <w:r w:rsidR="00401D0C" w:rsidRPr="00C1558B">
        <w:rPr>
          <w:rFonts w:ascii="Arial" w:hAnsi="Arial"/>
          <w:sz w:val="22"/>
          <w:szCs w:val="22"/>
        </w:rPr>
        <w:t>)</w:t>
      </w:r>
      <w:r w:rsidRPr="00C1558B">
        <w:rPr>
          <w:rFonts w:ascii="Arial" w:hAnsi="Arial" w:cs="Arial"/>
          <w:sz w:val="22"/>
          <w:szCs w:val="22"/>
        </w:rPr>
        <w:t xml:space="preserve">, which comprise the </w:t>
      </w:r>
      <w:r w:rsidR="00B450A6" w:rsidRPr="00C1558B">
        <w:rPr>
          <w:rFonts w:ascii="Arial" w:hAnsi="Arial" w:cs="Arial"/>
          <w:sz w:val="22"/>
          <w:szCs w:val="22"/>
        </w:rPr>
        <w:t xml:space="preserve">consolidated </w:t>
      </w:r>
      <w:r w:rsidRPr="00C1558B">
        <w:rPr>
          <w:rFonts w:ascii="Arial" w:hAnsi="Arial" w:cs="Arial"/>
          <w:sz w:val="22"/>
          <w:szCs w:val="22"/>
        </w:rPr>
        <w:t>statement of financial position as at</w:t>
      </w:r>
      <w:r w:rsidR="00B450A6" w:rsidRPr="00C1558B">
        <w:rPr>
          <w:rFonts w:ascii="Arial" w:hAnsi="Arial" w:cs="Arial"/>
          <w:sz w:val="22"/>
          <w:szCs w:val="22"/>
        </w:rPr>
        <w:t xml:space="preserve"> </w:t>
      </w:r>
      <w:r w:rsidRPr="00C1558B">
        <w:rPr>
          <w:rFonts w:ascii="Arial" w:hAnsi="Arial" w:cs="Arial"/>
          <w:sz w:val="22"/>
          <w:szCs w:val="22"/>
        </w:rPr>
        <w:t xml:space="preserve">31 December </w:t>
      </w:r>
      <w:r w:rsidR="000E7101" w:rsidRPr="00C1558B">
        <w:rPr>
          <w:rFonts w:ascii="Arial" w:hAnsi="Arial" w:cs="Arial"/>
          <w:sz w:val="22"/>
          <w:szCs w:val="22"/>
        </w:rPr>
        <w:t>202</w:t>
      </w:r>
      <w:r w:rsidR="00AF35F9" w:rsidRPr="00C1558B">
        <w:rPr>
          <w:rFonts w:ascii="Arial" w:hAnsi="Arial" w:cs="Arial"/>
          <w:sz w:val="22"/>
          <w:szCs w:val="22"/>
        </w:rPr>
        <w:t>5</w:t>
      </w:r>
      <w:r w:rsidRPr="00C1558B">
        <w:rPr>
          <w:rFonts w:ascii="Arial" w:hAnsi="Arial" w:cs="Arial"/>
          <w:sz w:val="22"/>
          <w:szCs w:val="22"/>
        </w:rPr>
        <w:t xml:space="preserve">, and the related </w:t>
      </w:r>
      <w:r w:rsidR="00B450A6" w:rsidRPr="00C1558B">
        <w:rPr>
          <w:rFonts w:ascii="Arial" w:hAnsi="Arial" w:cs="Arial"/>
          <w:sz w:val="22"/>
          <w:szCs w:val="22"/>
        </w:rPr>
        <w:t xml:space="preserve">consolidated </w:t>
      </w:r>
      <w:r w:rsidRPr="00C1558B">
        <w:rPr>
          <w:rFonts w:ascii="Arial" w:hAnsi="Arial" w:cs="Arial"/>
          <w:sz w:val="22"/>
          <w:szCs w:val="22"/>
        </w:rPr>
        <w:t xml:space="preserve">statements of comprehensive income, changes in shareholders’ equity and cash flows for the </w:t>
      </w:r>
      <w:r w:rsidR="00EE3D18" w:rsidRPr="00C1558B">
        <w:rPr>
          <w:rFonts w:ascii="Arial" w:hAnsi="Arial" w:cs="Arial"/>
          <w:sz w:val="22"/>
          <w:szCs w:val="22"/>
        </w:rPr>
        <w:t>year then ended,</w:t>
      </w:r>
      <w:r w:rsidRPr="00C1558B">
        <w:rPr>
          <w:rFonts w:ascii="Arial" w:hAnsi="Arial" w:cs="Arial"/>
          <w:sz w:val="22"/>
          <w:szCs w:val="22"/>
        </w:rPr>
        <w:t xml:space="preserve"> and notes to the </w:t>
      </w:r>
      <w:r w:rsidR="00E0199A" w:rsidRPr="00C1558B">
        <w:rPr>
          <w:rFonts w:ascii="Arial" w:hAnsi="Arial" w:cs="Arial"/>
          <w:sz w:val="22"/>
          <w:szCs w:val="22"/>
        </w:rPr>
        <w:t xml:space="preserve">consolidated </w:t>
      </w:r>
      <w:r w:rsidRPr="00C1558B">
        <w:rPr>
          <w:rFonts w:ascii="Arial" w:hAnsi="Arial" w:cs="Arial"/>
          <w:sz w:val="22"/>
          <w:szCs w:val="22"/>
        </w:rPr>
        <w:t xml:space="preserve">financial statements, including </w:t>
      </w:r>
      <w:r w:rsidR="007A7DA5" w:rsidRPr="00C1558B">
        <w:rPr>
          <w:rFonts w:ascii="Arial" w:hAnsi="Arial" w:cs="Arial"/>
          <w:sz w:val="22"/>
          <w:szCs w:val="22"/>
        </w:rPr>
        <w:t>material</w:t>
      </w:r>
      <w:r w:rsidRPr="00C1558B">
        <w:rPr>
          <w:rFonts w:ascii="Arial" w:hAnsi="Arial" w:cs="Arial"/>
          <w:sz w:val="22"/>
          <w:szCs w:val="22"/>
        </w:rPr>
        <w:t xml:space="preserve"> accounting polic</w:t>
      </w:r>
      <w:r w:rsidR="00015943" w:rsidRPr="00C1558B">
        <w:rPr>
          <w:rFonts w:ascii="Arial" w:hAnsi="Arial" w:cs="Arial"/>
          <w:sz w:val="22"/>
          <w:szCs w:val="22"/>
        </w:rPr>
        <w:t>y</w:t>
      </w:r>
      <w:r w:rsidR="00E62869" w:rsidRPr="00C1558B">
        <w:rPr>
          <w:rFonts w:ascii="Arial" w:hAnsi="Arial" w:cs="Arial"/>
          <w:sz w:val="22"/>
          <w:szCs w:val="22"/>
        </w:rPr>
        <w:t xml:space="preserve"> information</w:t>
      </w:r>
      <w:r w:rsidR="00E0720A" w:rsidRPr="00C1558B">
        <w:rPr>
          <w:rFonts w:ascii="Arial" w:hAnsi="Arial" w:cs="Arial"/>
          <w:sz w:val="22"/>
          <w:szCs w:val="22"/>
        </w:rPr>
        <w:t>, and have also audited the separate financial statements of BKI Holdings Public Company Limited for the same period (collectively</w:t>
      </w:r>
      <w:r w:rsidR="002E4C3D" w:rsidRPr="00C1558B">
        <w:rPr>
          <w:rFonts w:ascii="Arial" w:hAnsi="Arial" w:cs="Arial"/>
          <w:sz w:val="22"/>
          <w:szCs w:val="22"/>
        </w:rPr>
        <w:t xml:space="preserve"> </w:t>
      </w:r>
      <w:r w:rsidR="00E0720A" w:rsidRPr="00C1558B">
        <w:rPr>
          <w:rFonts w:ascii="Arial" w:hAnsi="Arial" w:cs="Arial"/>
          <w:sz w:val="22"/>
          <w:szCs w:val="22"/>
        </w:rPr>
        <w:t xml:space="preserve">“the financial </w:t>
      </w:r>
      <w:r w:rsidR="002E4C3D" w:rsidRPr="00C1558B">
        <w:rPr>
          <w:rFonts w:ascii="Arial" w:hAnsi="Arial" w:cs="Arial"/>
          <w:sz w:val="22"/>
          <w:szCs w:val="22"/>
        </w:rPr>
        <w:t>statement</w:t>
      </w:r>
      <w:r w:rsidR="007F32C0" w:rsidRPr="00C1558B">
        <w:rPr>
          <w:rFonts w:ascii="Arial" w:hAnsi="Arial" w:cs="Arial"/>
          <w:sz w:val="22"/>
          <w:szCs w:val="22"/>
        </w:rPr>
        <w:t>s</w:t>
      </w:r>
      <w:r w:rsidR="00E0720A" w:rsidRPr="00C1558B">
        <w:rPr>
          <w:rFonts w:ascii="Arial" w:hAnsi="Arial" w:cs="Arial"/>
          <w:sz w:val="22"/>
          <w:szCs w:val="22"/>
        </w:rPr>
        <w:t>”).</w:t>
      </w:r>
    </w:p>
    <w:p w14:paraId="31EB93A9" w14:textId="3D84F93C" w:rsidR="0038321F" w:rsidRPr="00C1558B" w:rsidRDefault="0038321F" w:rsidP="00C1558B">
      <w:pPr>
        <w:overflowPunct/>
        <w:autoSpaceDE/>
        <w:autoSpaceDN/>
        <w:adjustRightInd/>
        <w:spacing w:before="120" w:after="120" w:line="380" w:lineRule="exact"/>
        <w:textAlignment w:val="auto"/>
        <w:rPr>
          <w:rFonts w:ascii="Arial" w:hAnsi="Arial" w:cs="Arial"/>
          <w:sz w:val="22"/>
          <w:szCs w:val="22"/>
        </w:rPr>
      </w:pPr>
      <w:r w:rsidRPr="00C1558B">
        <w:rPr>
          <w:rFonts w:ascii="Arial" w:hAnsi="Arial" w:cs="Arial"/>
          <w:sz w:val="22"/>
          <w:szCs w:val="22"/>
        </w:rPr>
        <w:t xml:space="preserve">In my opinion, the financial statements referred to above present fairly, in all material respects, the financial position of </w:t>
      </w:r>
      <w:r w:rsidR="00395452" w:rsidRPr="00C1558B">
        <w:rPr>
          <w:rFonts w:ascii="Arial" w:hAnsi="Arial"/>
          <w:sz w:val="22"/>
          <w:szCs w:val="22"/>
        </w:rPr>
        <w:t>BKI</w:t>
      </w:r>
      <w:r w:rsidRPr="00C1558B">
        <w:rPr>
          <w:rFonts w:ascii="Arial" w:hAnsi="Arial"/>
          <w:sz w:val="22"/>
          <w:szCs w:val="22"/>
        </w:rPr>
        <w:t xml:space="preserve"> Holdings Public Company Limited</w:t>
      </w:r>
      <w:r w:rsidRPr="00C1558B">
        <w:rPr>
          <w:rFonts w:ascii="Arial" w:hAnsi="Arial" w:cs="Arial"/>
          <w:sz w:val="22"/>
          <w:szCs w:val="22"/>
        </w:rPr>
        <w:t xml:space="preserve"> </w:t>
      </w:r>
      <w:r w:rsidR="00E62869" w:rsidRPr="00C1558B">
        <w:rPr>
          <w:rFonts w:ascii="Arial" w:hAnsi="Arial" w:cs="Arial"/>
          <w:sz w:val="22"/>
          <w:szCs w:val="22"/>
        </w:rPr>
        <w:t>and</w:t>
      </w:r>
      <w:r w:rsidR="006F69B5" w:rsidRPr="00C1558B">
        <w:rPr>
          <w:rFonts w:ascii="Arial" w:hAnsi="Arial" w:cs="Arial"/>
          <w:sz w:val="22"/>
          <w:szCs w:val="22"/>
        </w:rPr>
        <w:t xml:space="preserve"> </w:t>
      </w:r>
      <w:r w:rsidR="006F69B5" w:rsidRPr="00C1558B">
        <w:rPr>
          <w:rFonts w:ascii="Arial" w:hAnsi="Arial"/>
          <w:sz w:val="22"/>
          <w:szCs w:val="22"/>
        </w:rPr>
        <w:t>its subsidiary</w:t>
      </w:r>
      <w:r w:rsidR="006F69B5" w:rsidRPr="00C1558B">
        <w:rPr>
          <w:rFonts w:ascii="Arial" w:hAnsi="Arial" w:cs="Arial"/>
          <w:sz w:val="22"/>
          <w:szCs w:val="22"/>
        </w:rPr>
        <w:t xml:space="preserve"> </w:t>
      </w:r>
      <w:r w:rsidR="003E7C57" w:rsidRPr="00C1558B">
        <w:rPr>
          <w:rFonts w:ascii="Arial" w:hAnsi="Arial" w:cs="Arial"/>
          <w:sz w:val="22"/>
          <w:szCs w:val="22"/>
        </w:rPr>
        <w:t xml:space="preserve">and of BKI Holdings Public Company Limited </w:t>
      </w:r>
      <w:r w:rsidRPr="00C1558B">
        <w:rPr>
          <w:rFonts w:ascii="Arial" w:hAnsi="Arial" w:cs="Arial"/>
          <w:sz w:val="22"/>
          <w:szCs w:val="22"/>
        </w:rPr>
        <w:t xml:space="preserve">as </w:t>
      </w:r>
      <w:proofErr w:type="gramStart"/>
      <w:r w:rsidRPr="00C1558B">
        <w:rPr>
          <w:rFonts w:ascii="Arial" w:hAnsi="Arial" w:cs="Arial"/>
          <w:sz w:val="22"/>
          <w:szCs w:val="22"/>
        </w:rPr>
        <w:t>at</w:t>
      </w:r>
      <w:proofErr w:type="gramEnd"/>
      <w:r w:rsidRPr="00C1558B">
        <w:rPr>
          <w:rFonts w:ascii="Arial" w:hAnsi="Arial" w:cs="Arial"/>
          <w:sz w:val="22"/>
          <w:szCs w:val="22"/>
        </w:rPr>
        <w:t xml:space="preserve"> 31 December </w:t>
      </w:r>
      <w:r w:rsidR="000E7101" w:rsidRPr="00C1558B">
        <w:rPr>
          <w:rFonts w:ascii="Arial" w:hAnsi="Arial" w:cs="Arial"/>
          <w:sz w:val="22"/>
          <w:szCs w:val="22"/>
        </w:rPr>
        <w:t>202</w:t>
      </w:r>
      <w:r w:rsidR="00AF35F9" w:rsidRPr="00C1558B">
        <w:rPr>
          <w:rFonts w:ascii="Arial" w:hAnsi="Arial" w:cs="Arial"/>
          <w:sz w:val="22"/>
          <w:szCs w:val="22"/>
        </w:rPr>
        <w:t>5</w:t>
      </w:r>
      <w:r w:rsidRPr="00C1558B">
        <w:rPr>
          <w:rFonts w:ascii="Arial" w:hAnsi="Arial" w:cs="Arial"/>
          <w:sz w:val="22"/>
          <w:szCs w:val="22"/>
        </w:rPr>
        <w:t xml:space="preserve">, </w:t>
      </w:r>
      <w:r w:rsidR="003E7C57" w:rsidRPr="00C1558B">
        <w:rPr>
          <w:rFonts w:ascii="Arial" w:hAnsi="Arial" w:cs="Arial"/>
          <w:sz w:val="22"/>
          <w:szCs w:val="22"/>
        </w:rPr>
        <w:t>their</w:t>
      </w:r>
      <w:r w:rsidRPr="00C1558B">
        <w:rPr>
          <w:rFonts w:ascii="Arial" w:hAnsi="Arial" w:cs="Arial"/>
          <w:sz w:val="22"/>
          <w:szCs w:val="22"/>
        </w:rPr>
        <w:t xml:space="preserve"> financial performance and cash flows for the </w:t>
      </w:r>
      <w:r w:rsidR="003E7C57" w:rsidRPr="00C1558B">
        <w:rPr>
          <w:rFonts w:ascii="Arial" w:hAnsi="Arial" w:cs="Arial"/>
          <w:sz w:val="22"/>
          <w:szCs w:val="22"/>
        </w:rPr>
        <w:t xml:space="preserve">year then ended </w:t>
      </w:r>
      <w:r w:rsidRPr="00C1558B">
        <w:rPr>
          <w:rFonts w:ascii="Arial" w:hAnsi="Arial" w:cs="Arial"/>
          <w:sz w:val="22"/>
          <w:szCs w:val="22"/>
        </w:rPr>
        <w:t>in accordance with Thai Financial Reporting Standards.</w:t>
      </w:r>
    </w:p>
    <w:p w14:paraId="358C816D" w14:textId="77777777" w:rsidR="0038321F" w:rsidRPr="00C1558B" w:rsidRDefault="0038321F" w:rsidP="00C1558B">
      <w:pPr>
        <w:overflowPunct/>
        <w:autoSpaceDE/>
        <w:autoSpaceDN/>
        <w:adjustRightInd/>
        <w:spacing w:before="120" w:after="120" w:line="380" w:lineRule="exact"/>
        <w:textAlignment w:val="auto"/>
        <w:rPr>
          <w:rFonts w:ascii="Arial" w:hAnsi="Arial" w:cs="Arial"/>
          <w:b/>
          <w:bCs/>
          <w:color w:val="000000"/>
          <w:sz w:val="22"/>
          <w:szCs w:val="22"/>
        </w:rPr>
      </w:pPr>
      <w:r w:rsidRPr="00C1558B">
        <w:rPr>
          <w:rFonts w:ascii="Arial" w:hAnsi="Arial" w:cs="Arial"/>
          <w:b/>
          <w:bCs/>
          <w:color w:val="000000"/>
          <w:sz w:val="22"/>
          <w:szCs w:val="22"/>
        </w:rPr>
        <w:t>Basis for Opinion</w:t>
      </w:r>
    </w:p>
    <w:p w14:paraId="299AB093" w14:textId="4FEBF83E" w:rsidR="009D0C37" w:rsidRPr="00C1558B" w:rsidRDefault="0038321F" w:rsidP="00C1558B">
      <w:pPr>
        <w:pStyle w:val="BodyText"/>
        <w:spacing w:before="120" w:after="120" w:line="380" w:lineRule="exact"/>
        <w:jc w:val="left"/>
        <w:rPr>
          <w:rFonts w:ascii="Arial" w:hAnsi="Arial" w:cs="Arial"/>
          <w:sz w:val="22"/>
          <w:szCs w:val="22"/>
        </w:rPr>
      </w:pPr>
      <w:r w:rsidRPr="00C1558B">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2B4BF6" w:rsidRPr="00C1558B">
        <w:rPr>
          <w:rFonts w:ascii="Arial" w:hAnsi="Arial" w:cs="Arial"/>
          <w:sz w:val="22"/>
          <w:szCs w:val="22"/>
        </w:rPr>
        <w:t>Group</w:t>
      </w:r>
      <w:r w:rsidRPr="00C1558B">
        <w:rPr>
          <w:rFonts w:ascii="Arial" w:hAnsi="Arial" w:cs="Arial"/>
          <w:sz w:val="22"/>
          <w:szCs w:val="22"/>
        </w:rPr>
        <w:t xml:space="preserve">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DBC88B8" w14:textId="77777777" w:rsidR="00095D6B" w:rsidRPr="00C1558B" w:rsidRDefault="00095D6B" w:rsidP="00C1558B">
      <w:pPr>
        <w:spacing w:before="120" w:after="120" w:line="380" w:lineRule="exact"/>
        <w:rPr>
          <w:rFonts w:ascii="Arial" w:hAnsi="Arial" w:cs="Arial"/>
          <w:b/>
          <w:bCs/>
          <w:sz w:val="22"/>
          <w:szCs w:val="22"/>
        </w:rPr>
      </w:pPr>
    </w:p>
    <w:p w14:paraId="51BC740A" w14:textId="77777777" w:rsidR="009D58F8" w:rsidRPr="00C1558B" w:rsidRDefault="009D58F8" w:rsidP="00C1558B">
      <w:pPr>
        <w:pStyle w:val="BodyText"/>
        <w:spacing w:before="120" w:after="120" w:line="380" w:lineRule="exact"/>
        <w:jc w:val="left"/>
        <w:rPr>
          <w:rFonts w:ascii="Arial" w:hAnsi="Arial" w:cs="Arial"/>
          <w:b/>
          <w:bCs/>
          <w:color w:val="000000"/>
          <w:sz w:val="22"/>
          <w:szCs w:val="22"/>
        </w:rPr>
        <w:sectPr w:rsidR="009D58F8" w:rsidRPr="00C1558B" w:rsidSect="00EA2BB8">
          <w:footerReference w:type="first" r:id="rId7"/>
          <w:pgSz w:w="11907" w:h="16840" w:code="9"/>
          <w:pgMar w:top="3456" w:right="1080" w:bottom="180" w:left="1296" w:header="706" w:footer="706" w:gutter="0"/>
          <w:pgNumType w:start="2"/>
          <w:cols w:space="720"/>
          <w:titlePg/>
        </w:sectPr>
      </w:pPr>
    </w:p>
    <w:p w14:paraId="5EAA81CF" w14:textId="77777777" w:rsidR="00D076F3" w:rsidRPr="00C1558B" w:rsidRDefault="00D076F3" w:rsidP="00C1558B">
      <w:pPr>
        <w:pStyle w:val="ps-000-normal"/>
        <w:spacing w:before="120" w:line="380" w:lineRule="exact"/>
        <w:rPr>
          <w:rFonts w:ascii="Arial" w:hAnsi="Arial" w:cs="Arial"/>
          <w:b/>
          <w:bCs/>
          <w:sz w:val="22"/>
          <w:szCs w:val="22"/>
        </w:rPr>
      </w:pPr>
      <w:r w:rsidRPr="00C1558B">
        <w:rPr>
          <w:rFonts w:ascii="Arial" w:hAnsi="Arial" w:cs="Arial"/>
          <w:b/>
          <w:bCs/>
          <w:sz w:val="22"/>
          <w:szCs w:val="22"/>
        </w:rPr>
        <w:lastRenderedPageBreak/>
        <w:t>Key Audit Matters</w:t>
      </w:r>
    </w:p>
    <w:p w14:paraId="4E42DCB5" w14:textId="77777777" w:rsidR="00D076F3" w:rsidRPr="00C1558B" w:rsidRDefault="00D076F3" w:rsidP="00C1558B">
      <w:pPr>
        <w:pStyle w:val="ps-000-normal"/>
        <w:spacing w:before="120" w:line="380" w:lineRule="exact"/>
        <w:rPr>
          <w:rFonts w:ascii="Arial" w:hAnsi="Arial" w:cs="Arial"/>
          <w:color w:val="auto"/>
          <w:sz w:val="22"/>
          <w:szCs w:val="22"/>
        </w:rPr>
      </w:pPr>
      <w:r w:rsidRPr="00C1558B">
        <w:rPr>
          <w:rFonts w:ascii="Arial" w:hAnsi="Arial" w:cs="Arial"/>
          <w:color w:val="auto"/>
          <w:sz w:val="22"/>
          <w:szCs w:val="22"/>
        </w:rPr>
        <w:t xml:space="preserve">Key audit matters are those matters that, in my professional judgement, were of most significance in my audit of the financial statements </w:t>
      </w:r>
      <w:proofErr w:type="gramStart"/>
      <w:r w:rsidRPr="00C1558B">
        <w:rPr>
          <w:rFonts w:ascii="Arial" w:hAnsi="Arial" w:cs="Arial"/>
          <w:color w:val="auto"/>
          <w:sz w:val="22"/>
          <w:szCs w:val="22"/>
        </w:rPr>
        <w:t>of</w:t>
      </w:r>
      <w:proofErr w:type="gramEnd"/>
      <w:r w:rsidRPr="00C1558B">
        <w:rPr>
          <w:rFonts w:ascii="Arial" w:hAnsi="Arial" w:cs="Arial"/>
          <w:color w:val="auto"/>
          <w:sz w:val="22"/>
          <w:szCs w:val="22"/>
        </w:rPr>
        <w:t xml:space="preserve"> the current period. These matters were addressed in the context of my audit of the financial </w:t>
      </w:r>
      <w:proofErr w:type="gramStart"/>
      <w:r w:rsidRPr="00C1558B">
        <w:rPr>
          <w:rFonts w:ascii="Arial" w:hAnsi="Arial" w:cs="Arial"/>
          <w:color w:val="auto"/>
          <w:sz w:val="22"/>
          <w:szCs w:val="22"/>
        </w:rPr>
        <w:t>statements as a whole, and</w:t>
      </w:r>
      <w:proofErr w:type="gramEnd"/>
      <w:r w:rsidRPr="00C1558B">
        <w:rPr>
          <w:rFonts w:ascii="Arial" w:hAnsi="Arial" w:cs="Arial"/>
          <w:color w:val="auto"/>
          <w:sz w:val="22"/>
          <w:szCs w:val="22"/>
        </w:rPr>
        <w:t xml:space="preserve"> in forming my opinion thereon, and I do not provide a separate opinion on these matters. </w:t>
      </w:r>
    </w:p>
    <w:p w14:paraId="7619E4EA" w14:textId="77777777" w:rsidR="00D076F3" w:rsidRPr="00C1558B" w:rsidRDefault="00D076F3" w:rsidP="00C1558B">
      <w:pPr>
        <w:pStyle w:val="ps-000-normal"/>
        <w:spacing w:before="120" w:line="380" w:lineRule="exact"/>
        <w:rPr>
          <w:rFonts w:ascii="Arial" w:hAnsi="Arial" w:cs="Arial"/>
          <w:color w:val="auto"/>
          <w:sz w:val="22"/>
          <w:szCs w:val="22"/>
        </w:rPr>
      </w:pPr>
      <w:r w:rsidRPr="00C1558B">
        <w:rPr>
          <w:rFonts w:ascii="Arial" w:hAnsi="Arial" w:cs="Arial"/>
          <w:color w:val="auto"/>
          <w:sz w:val="22"/>
          <w:szCs w:val="22"/>
        </w:rPr>
        <w:t xml:space="preserve">I have fulfilled the responsibilities described in the Auditor’s Responsibilities for the Audit of the Financial Statements section of my report, including in relation to these matters. </w:t>
      </w:r>
      <w:proofErr w:type="gramStart"/>
      <w:r w:rsidRPr="00C1558B">
        <w:rPr>
          <w:rFonts w:ascii="Arial" w:hAnsi="Arial" w:cs="Arial"/>
          <w:color w:val="auto"/>
          <w:sz w:val="22"/>
          <w:szCs w:val="22"/>
        </w:rPr>
        <w:t xml:space="preserve">Accordingly,   </w:t>
      </w:r>
      <w:proofErr w:type="gramEnd"/>
      <w:r w:rsidRPr="00C1558B">
        <w:rPr>
          <w:rFonts w:ascii="Arial" w:hAnsi="Arial" w:cs="Arial"/>
          <w:color w:val="auto"/>
          <w:sz w:val="22"/>
          <w:szCs w:val="22"/>
        </w:rPr>
        <w:t xml:space="preserve">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A6FEB0E" w14:textId="77777777" w:rsidR="00D076F3" w:rsidRPr="00C1558B" w:rsidRDefault="00D076F3" w:rsidP="00C1558B">
      <w:pPr>
        <w:pStyle w:val="ps-000-normal"/>
        <w:spacing w:before="120" w:line="380" w:lineRule="exact"/>
        <w:rPr>
          <w:rFonts w:ascii="Arial" w:hAnsi="Arial" w:cs="Arial"/>
          <w:sz w:val="22"/>
          <w:szCs w:val="22"/>
        </w:rPr>
      </w:pPr>
      <w:r w:rsidRPr="00C1558B">
        <w:rPr>
          <w:rFonts w:ascii="Arial" w:hAnsi="Arial" w:cs="Arial"/>
          <w:sz w:val="22"/>
          <w:szCs w:val="22"/>
        </w:rPr>
        <w:t>Key audit matters and how audit procedures respond to each matter were</w:t>
      </w:r>
      <w:r w:rsidRPr="00C1558B">
        <w:rPr>
          <w:rFonts w:ascii="Arial" w:hAnsi="Arial" w:cs="Arial"/>
          <w:sz w:val="22"/>
          <w:szCs w:val="22"/>
          <w:cs/>
        </w:rPr>
        <w:t xml:space="preserve"> </w:t>
      </w:r>
      <w:r w:rsidRPr="00C1558B">
        <w:rPr>
          <w:rFonts w:ascii="Arial" w:hAnsi="Arial" w:cs="Arial"/>
          <w:sz w:val="22"/>
          <w:szCs w:val="22"/>
        </w:rPr>
        <w:t>described below.</w:t>
      </w:r>
    </w:p>
    <w:p w14:paraId="709A8BD6" w14:textId="77777777" w:rsidR="006B25E2" w:rsidRPr="006B25E2" w:rsidRDefault="006B25E2" w:rsidP="006B25E2">
      <w:pPr>
        <w:pStyle w:val="ps-000-normal"/>
        <w:spacing w:before="120" w:line="380" w:lineRule="exact"/>
        <w:rPr>
          <w:rFonts w:ascii="Arial" w:hAnsi="Arial" w:cs="Arial"/>
          <w:b/>
          <w:bCs/>
          <w:sz w:val="22"/>
          <w:szCs w:val="22"/>
        </w:rPr>
      </w:pPr>
      <w:r w:rsidRPr="006B25E2">
        <w:rPr>
          <w:rFonts w:ascii="Arial" w:hAnsi="Arial" w:cs="Arial"/>
          <w:b/>
          <w:bCs/>
          <w:sz w:val="22"/>
          <w:szCs w:val="22"/>
        </w:rPr>
        <w:t>Insurance Contract Liabilities</w:t>
      </w:r>
    </w:p>
    <w:p w14:paraId="73F38AF3" w14:textId="77777777" w:rsidR="006B25E2" w:rsidRPr="006B25E2" w:rsidRDefault="006B25E2" w:rsidP="006B25E2">
      <w:pPr>
        <w:pStyle w:val="ps-000-normal"/>
        <w:spacing w:before="120" w:line="380" w:lineRule="exact"/>
        <w:rPr>
          <w:rFonts w:ascii="Arial" w:hAnsi="Arial" w:cs="Arial"/>
          <w:sz w:val="22"/>
          <w:szCs w:val="22"/>
        </w:rPr>
      </w:pPr>
      <w:r w:rsidRPr="006B25E2">
        <w:rPr>
          <w:rFonts w:ascii="Arial" w:hAnsi="Arial" w:cs="Arial"/>
          <w:sz w:val="22"/>
          <w:szCs w:val="22"/>
        </w:rPr>
        <w:t>As at 31 December 2025, the Group recorded insurance contract liabilities which comprise liabilities for incurred claims amounting to Baht 15,857 million, representing 47% of total liabilities, and liabilities for remaining coverage amounting to Baht 11,896 million, representing 35% of total liabilities, which include liabilities for remaining coverage not measured under the premium allocation approach amounted to Baht 2,309 million, representing 7% of total liabilities.</w:t>
      </w:r>
    </w:p>
    <w:p w14:paraId="61267001" w14:textId="77777777" w:rsidR="006B25E2" w:rsidRPr="006B25E2" w:rsidRDefault="006B25E2" w:rsidP="006B25E2">
      <w:pPr>
        <w:pStyle w:val="ps-000-normal"/>
        <w:spacing w:before="120" w:line="380" w:lineRule="exact"/>
        <w:rPr>
          <w:rFonts w:ascii="Arial" w:hAnsi="Arial" w:cs="Arial"/>
          <w:sz w:val="22"/>
          <w:szCs w:val="22"/>
          <w:u w:val="single"/>
        </w:rPr>
      </w:pPr>
      <w:proofErr w:type="gramStart"/>
      <w:r w:rsidRPr="006B25E2">
        <w:rPr>
          <w:rFonts w:ascii="Arial" w:hAnsi="Arial" w:cs="Arial"/>
          <w:sz w:val="22"/>
          <w:szCs w:val="22"/>
          <w:u w:val="single"/>
        </w:rPr>
        <w:t>Liabilities</w:t>
      </w:r>
      <w:proofErr w:type="gramEnd"/>
      <w:r w:rsidRPr="006B25E2">
        <w:rPr>
          <w:rFonts w:ascii="Arial" w:hAnsi="Arial" w:cs="Arial"/>
          <w:sz w:val="22"/>
          <w:szCs w:val="22"/>
          <w:u w:val="single"/>
        </w:rPr>
        <w:t xml:space="preserve"> for </w:t>
      </w:r>
      <w:proofErr w:type="gramStart"/>
      <w:r w:rsidRPr="006B25E2">
        <w:rPr>
          <w:rFonts w:ascii="Arial" w:hAnsi="Arial" w:cs="Arial"/>
          <w:sz w:val="22"/>
          <w:szCs w:val="22"/>
          <w:u w:val="single"/>
        </w:rPr>
        <w:t>incurred claims</w:t>
      </w:r>
      <w:proofErr w:type="gramEnd"/>
    </w:p>
    <w:p w14:paraId="1AA3CD94" w14:textId="77777777" w:rsidR="006B25E2" w:rsidRPr="006B25E2" w:rsidRDefault="006B25E2" w:rsidP="006B25E2">
      <w:pPr>
        <w:pStyle w:val="ps-000-normal"/>
        <w:spacing w:before="120" w:line="380" w:lineRule="exact"/>
        <w:rPr>
          <w:rFonts w:ascii="Arial" w:hAnsi="Arial" w:cs="Arial"/>
          <w:sz w:val="22"/>
          <w:szCs w:val="22"/>
        </w:rPr>
      </w:pPr>
      <w:r w:rsidRPr="006B25E2">
        <w:rPr>
          <w:rFonts w:ascii="Arial" w:hAnsi="Arial" w:cs="Arial"/>
          <w:sz w:val="22"/>
          <w:szCs w:val="22"/>
        </w:rPr>
        <w:t>As disclosed in Note 7.1.1 to the consolidated financial statements, the liabilities for incurred claims are determined using actuarial valuation techniques and incorporate certain non</w:t>
      </w:r>
      <w:r w:rsidRPr="006B25E2">
        <w:rPr>
          <w:rFonts w:ascii="Arial" w:hAnsi="Arial" w:cs="Arial"/>
          <w:sz w:val="22"/>
          <w:szCs w:val="22"/>
        </w:rPr>
        <w:noBreakHyphen/>
        <w:t>economic assumptions to estimate the present value of future cash flows. These include estimates of all future claim payments relating to incurred but unpaid claims and the risk adjustment for non-financial risk. The estimation involves significant management judgement in setting assumptions related to ultimate loss, expected claim settlement patterns, methods applied and risk factors for incurred claims, all of which rely on non</w:t>
      </w:r>
      <w:r w:rsidRPr="006B25E2">
        <w:rPr>
          <w:rFonts w:ascii="Arial" w:hAnsi="Arial" w:cs="Arial"/>
          <w:sz w:val="22"/>
          <w:szCs w:val="22"/>
        </w:rPr>
        <w:noBreakHyphen/>
        <w:t xml:space="preserve">economic historical experience data. I therefore focused on the audit of the valuation of liabilities for </w:t>
      </w:r>
      <w:proofErr w:type="gramStart"/>
      <w:r w:rsidRPr="006B25E2">
        <w:rPr>
          <w:rFonts w:ascii="Arial" w:hAnsi="Arial" w:cs="Arial"/>
          <w:sz w:val="22"/>
          <w:szCs w:val="22"/>
        </w:rPr>
        <w:t>incurred claims</w:t>
      </w:r>
      <w:proofErr w:type="gramEnd"/>
      <w:r w:rsidRPr="006B25E2">
        <w:rPr>
          <w:rFonts w:ascii="Arial" w:hAnsi="Arial" w:cs="Arial"/>
          <w:sz w:val="22"/>
          <w:szCs w:val="22"/>
        </w:rPr>
        <w:t xml:space="preserve"> as follows.</w:t>
      </w:r>
    </w:p>
    <w:p w14:paraId="191259DF" w14:textId="77777777" w:rsidR="006B25E2" w:rsidRPr="006B25E2" w:rsidRDefault="006B25E2" w:rsidP="006B25E2">
      <w:pPr>
        <w:pStyle w:val="ps-000-normal"/>
        <w:numPr>
          <w:ilvl w:val="0"/>
          <w:numId w:val="9"/>
        </w:numPr>
        <w:spacing w:before="120" w:line="380" w:lineRule="exact"/>
        <w:ind w:left="540" w:hanging="540"/>
        <w:rPr>
          <w:rFonts w:ascii="Arial" w:hAnsi="Arial" w:cs="Arial"/>
          <w:sz w:val="22"/>
          <w:szCs w:val="22"/>
        </w:rPr>
      </w:pPr>
      <w:r w:rsidRPr="006B25E2">
        <w:rPr>
          <w:rFonts w:ascii="Arial" w:hAnsi="Arial" w:cs="Arial"/>
          <w:sz w:val="22"/>
          <w:szCs w:val="22"/>
        </w:rPr>
        <w:t xml:space="preserve">Evaluated the design and operating effectiveness of internal controls related to claims notification and claims payment processes by inquiring </w:t>
      </w:r>
      <w:proofErr w:type="gramStart"/>
      <w:r w:rsidRPr="006B25E2">
        <w:rPr>
          <w:rFonts w:ascii="Arial" w:hAnsi="Arial" w:cs="Arial"/>
          <w:sz w:val="22"/>
          <w:szCs w:val="22"/>
        </w:rPr>
        <w:t>management, and</w:t>
      </w:r>
      <w:proofErr w:type="gramEnd"/>
      <w:r w:rsidRPr="006B25E2">
        <w:rPr>
          <w:rFonts w:ascii="Arial" w:hAnsi="Arial" w:cs="Arial"/>
          <w:sz w:val="22"/>
          <w:szCs w:val="22"/>
        </w:rPr>
        <w:t xml:space="preserve"> performing sample-based tests of controls over the approval and recording of reported and paid claims, including inspection of claim files and supporting payment documentation. </w:t>
      </w:r>
    </w:p>
    <w:p w14:paraId="700E6ED7" w14:textId="77777777" w:rsidR="006B25E2" w:rsidRPr="006B25E2" w:rsidRDefault="006B25E2" w:rsidP="006B25E2">
      <w:pPr>
        <w:pStyle w:val="ps-000-normal"/>
        <w:numPr>
          <w:ilvl w:val="0"/>
          <w:numId w:val="9"/>
        </w:numPr>
        <w:spacing w:before="120" w:line="380" w:lineRule="exact"/>
        <w:ind w:left="540" w:hanging="540"/>
        <w:rPr>
          <w:rFonts w:ascii="Arial" w:hAnsi="Arial" w:cs="Arial"/>
          <w:sz w:val="22"/>
          <w:szCs w:val="22"/>
        </w:rPr>
      </w:pPr>
      <w:r w:rsidRPr="006B25E2">
        <w:rPr>
          <w:rFonts w:ascii="Arial" w:hAnsi="Arial" w:cs="Arial"/>
          <w:sz w:val="22"/>
          <w:szCs w:val="22"/>
        </w:rPr>
        <w:lastRenderedPageBreak/>
        <w:t xml:space="preserve">Performed sample testing of reported claims and claims payment data used in the preparation of claims development triangles by comparing to historical reported and paid claims by line of business, reconciling this information to the claims register and paid claims register, and assessing the number of years of historical data used. </w:t>
      </w:r>
    </w:p>
    <w:p w14:paraId="74BF1C19" w14:textId="77777777" w:rsidR="006B25E2" w:rsidRPr="006B25E2" w:rsidRDefault="006B25E2" w:rsidP="006B25E2">
      <w:pPr>
        <w:pStyle w:val="ps-000-normal"/>
        <w:numPr>
          <w:ilvl w:val="0"/>
          <w:numId w:val="9"/>
        </w:numPr>
        <w:spacing w:before="120" w:line="380" w:lineRule="exact"/>
        <w:ind w:left="540" w:hanging="540"/>
        <w:rPr>
          <w:rFonts w:ascii="Arial" w:hAnsi="Arial" w:cs="Arial"/>
          <w:sz w:val="22"/>
          <w:szCs w:val="22"/>
        </w:rPr>
      </w:pPr>
      <w:r w:rsidRPr="006B25E2">
        <w:rPr>
          <w:rFonts w:ascii="Arial" w:hAnsi="Arial" w:cs="Arial"/>
          <w:sz w:val="22"/>
          <w:szCs w:val="22"/>
        </w:rPr>
        <w:t xml:space="preserve">Sample </w:t>
      </w:r>
      <w:proofErr w:type="gramStart"/>
      <w:r w:rsidRPr="006B25E2">
        <w:rPr>
          <w:rFonts w:ascii="Arial" w:hAnsi="Arial" w:cs="Arial"/>
          <w:sz w:val="22"/>
          <w:szCs w:val="22"/>
        </w:rPr>
        <w:t>tested current-year</w:t>
      </w:r>
      <w:proofErr w:type="gramEnd"/>
      <w:r w:rsidRPr="006B25E2">
        <w:rPr>
          <w:rFonts w:ascii="Arial" w:hAnsi="Arial" w:cs="Arial"/>
          <w:sz w:val="22"/>
          <w:szCs w:val="22"/>
        </w:rPr>
        <w:t xml:space="preserve"> incurred claims data against claim files to verify the accuracy of claim occurrence dates and claim amounts. </w:t>
      </w:r>
    </w:p>
    <w:p w14:paraId="62A5DDCC" w14:textId="77777777" w:rsidR="006B25E2" w:rsidRPr="006B25E2" w:rsidRDefault="006B25E2" w:rsidP="006B25E2">
      <w:pPr>
        <w:pStyle w:val="ps-000-normal"/>
        <w:numPr>
          <w:ilvl w:val="0"/>
          <w:numId w:val="9"/>
        </w:numPr>
        <w:spacing w:before="120" w:line="380" w:lineRule="exact"/>
        <w:ind w:left="540" w:hanging="540"/>
        <w:rPr>
          <w:rFonts w:ascii="Arial" w:hAnsi="Arial" w:cs="Arial"/>
          <w:sz w:val="22"/>
          <w:szCs w:val="22"/>
        </w:rPr>
      </w:pPr>
      <w:r w:rsidRPr="006B25E2">
        <w:rPr>
          <w:rFonts w:ascii="Arial" w:hAnsi="Arial" w:cs="Arial"/>
          <w:sz w:val="22"/>
          <w:szCs w:val="22"/>
        </w:rPr>
        <w:t>Engaged actuarial specialists to review the valuation methodology, perform sample recalculations of future cash flow estimates, and assess key assumptions applied by management in estimating ultimate loss and determining the risk adjustment for non</w:t>
      </w:r>
      <w:r w:rsidRPr="006B25E2">
        <w:rPr>
          <w:rFonts w:ascii="Arial" w:hAnsi="Arial" w:cs="Arial"/>
          <w:sz w:val="22"/>
          <w:szCs w:val="22"/>
        </w:rPr>
        <w:noBreakHyphen/>
        <w:t xml:space="preserve">financial risk. This included analytical review of movements in related liabilities, estimated future cash flows, and </w:t>
      </w:r>
      <w:proofErr w:type="gramStart"/>
      <w:r w:rsidRPr="006B25E2">
        <w:rPr>
          <w:rFonts w:ascii="Arial" w:hAnsi="Arial" w:cs="Arial"/>
          <w:sz w:val="22"/>
          <w:szCs w:val="22"/>
        </w:rPr>
        <w:t>the risk</w:t>
      </w:r>
      <w:proofErr w:type="gramEnd"/>
      <w:r w:rsidRPr="006B25E2">
        <w:rPr>
          <w:rFonts w:ascii="Arial" w:hAnsi="Arial" w:cs="Arial"/>
          <w:sz w:val="22"/>
          <w:szCs w:val="22"/>
        </w:rPr>
        <w:t xml:space="preserve"> adjustment. </w:t>
      </w:r>
    </w:p>
    <w:p w14:paraId="103AB88C" w14:textId="77777777" w:rsidR="006B25E2" w:rsidRPr="006B25E2" w:rsidRDefault="006B25E2" w:rsidP="006B25E2">
      <w:pPr>
        <w:pStyle w:val="ps-000-normal"/>
        <w:numPr>
          <w:ilvl w:val="0"/>
          <w:numId w:val="9"/>
        </w:numPr>
        <w:spacing w:before="120" w:line="380" w:lineRule="exact"/>
        <w:ind w:left="540" w:hanging="540"/>
        <w:rPr>
          <w:rFonts w:ascii="Arial" w:hAnsi="Arial" w:cs="Arial"/>
          <w:sz w:val="22"/>
          <w:szCs w:val="22"/>
        </w:rPr>
      </w:pPr>
      <w:proofErr w:type="spellStart"/>
      <w:r w:rsidRPr="006B25E2">
        <w:rPr>
          <w:rFonts w:ascii="Arial" w:hAnsi="Arial" w:cs="Arial"/>
          <w:sz w:val="22"/>
          <w:szCs w:val="22"/>
        </w:rPr>
        <w:t>Analysed</w:t>
      </w:r>
      <w:proofErr w:type="spellEnd"/>
      <w:r w:rsidRPr="006B25E2">
        <w:rPr>
          <w:rFonts w:ascii="Arial" w:hAnsi="Arial" w:cs="Arial"/>
          <w:sz w:val="22"/>
          <w:szCs w:val="22"/>
        </w:rPr>
        <w:t xml:space="preserve"> loss ratios by line of business compared to the prior year. </w:t>
      </w:r>
    </w:p>
    <w:p w14:paraId="37C699BE" w14:textId="77777777" w:rsidR="006B25E2" w:rsidRPr="006B25E2" w:rsidRDefault="006B25E2" w:rsidP="006B25E2">
      <w:pPr>
        <w:pStyle w:val="ps-000-normal"/>
        <w:numPr>
          <w:ilvl w:val="0"/>
          <w:numId w:val="9"/>
        </w:numPr>
        <w:spacing w:before="120" w:line="380" w:lineRule="exact"/>
        <w:ind w:left="540" w:hanging="540"/>
        <w:rPr>
          <w:rFonts w:ascii="Arial" w:hAnsi="Arial" w:cs="Arial"/>
          <w:sz w:val="22"/>
          <w:szCs w:val="22"/>
        </w:rPr>
      </w:pPr>
      <w:proofErr w:type="spellStart"/>
      <w:r w:rsidRPr="006B25E2">
        <w:rPr>
          <w:rFonts w:ascii="Arial" w:hAnsi="Arial" w:cs="Arial"/>
          <w:sz w:val="22"/>
          <w:szCs w:val="22"/>
        </w:rPr>
        <w:t>Analysed</w:t>
      </w:r>
      <w:proofErr w:type="spellEnd"/>
      <w:r w:rsidRPr="006B25E2">
        <w:rPr>
          <w:rFonts w:ascii="Arial" w:hAnsi="Arial" w:cs="Arial"/>
          <w:sz w:val="22"/>
          <w:szCs w:val="22"/>
        </w:rPr>
        <w:t xml:space="preserve"> risk adjustment rates for non</w:t>
      </w:r>
      <w:r w:rsidRPr="006B25E2">
        <w:rPr>
          <w:rFonts w:ascii="Arial" w:hAnsi="Arial" w:cs="Arial"/>
          <w:sz w:val="22"/>
          <w:szCs w:val="22"/>
        </w:rPr>
        <w:noBreakHyphen/>
        <w:t>financial risk relative to the prior year for groups of insurance contracts with similar risk characteristics.</w:t>
      </w:r>
    </w:p>
    <w:p w14:paraId="5904E16B" w14:textId="77777777" w:rsidR="006B25E2" w:rsidRPr="006B25E2" w:rsidRDefault="006B25E2" w:rsidP="006B25E2">
      <w:pPr>
        <w:pStyle w:val="ps-000-normal"/>
        <w:spacing w:before="120" w:line="380" w:lineRule="exact"/>
        <w:rPr>
          <w:rFonts w:ascii="Arial" w:hAnsi="Arial" w:cs="Arial"/>
          <w:sz w:val="22"/>
          <w:szCs w:val="22"/>
          <w:u w:val="single"/>
        </w:rPr>
      </w:pPr>
      <w:r w:rsidRPr="006B25E2">
        <w:rPr>
          <w:rFonts w:ascii="Arial" w:hAnsi="Arial" w:cs="Arial"/>
          <w:sz w:val="22"/>
          <w:szCs w:val="22"/>
          <w:u w:val="single"/>
        </w:rPr>
        <w:t>Liabilities for remaining coverage not measured under the premium allocation approach</w:t>
      </w:r>
    </w:p>
    <w:p w14:paraId="2B48A615" w14:textId="77777777" w:rsidR="006B25E2" w:rsidRPr="006B25E2" w:rsidRDefault="006B25E2" w:rsidP="006B25E2">
      <w:pPr>
        <w:pStyle w:val="ps-000-normal"/>
        <w:spacing w:before="120" w:line="380" w:lineRule="exact"/>
        <w:rPr>
          <w:rFonts w:ascii="Arial" w:hAnsi="Arial" w:cs="Arial"/>
          <w:sz w:val="22"/>
          <w:szCs w:val="22"/>
        </w:rPr>
      </w:pPr>
      <w:r w:rsidRPr="006B25E2">
        <w:rPr>
          <w:rFonts w:ascii="Arial" w:hAnsi="Arial" w:cs="Arial"/>
          <w:sz w:val="22"/>
          <w:szCs w:val="22"/>
        </w:rPr>
        <w:t>As disclosed in Note 7.1.1 to the consolidated financial statements, the liabilities for remaining coverage for insurance contracts not measured under the Premium Allocation Approach (PAA) are determined using actuarial valuation techniques, applying economic and non</w:t>
      </w:r>
      <w:r w:rsidRPr="006B25E2">
        <w:rPr>
          <w:rFonts w:ascii="Arial" w:hAnsi="Arial" w:cs="Arial"/>
          <w:sz w:val="22"/>
          <w:szCs w:val="22"/>
        </w:rPr>
        <w:noBreakHyphen/>
        <w:t>economic assumptions to estimate the present value of all future cash outflows within the contract boundary (excluding incurred claims that remain unpaid) and the risk adjustment for non</w:t>
      </w:r>
      <w:r w:rsidRPr="006B25E2">
        <w:rPr>
          <w:rFonts w:ascii="Arial" w:hAnsi="Arial" w:cs="Arial"/>
          <w:sz w:val="22"/>
          <w:szCs w:val="22"/>
        </w:rPr>
        <w:noBreakHyphen/>
        <w:t>financial risk.</w:t>
      </w:r>
    </w:p>
    <w:p w14:paraId="1D182FCC" w14:textId="77777777" w:rsidR="006B25E2" w:rsidRPr="006B25E2" w:rsidRDefault="006B25E2" w:rsidP="006B25E2">
      <w:pPr>
        <w:pStyle w:val="ps-000-normal"/>
        <w:spacing w:before="120" w:line="380" w:lineRule="exact"/>
        <w:rPr>
          <w:rFonts w:ascii="Arial" w:hAnsi="Arial" w:cs="Arial"/>
          <w:sz w:val="22"/>
          <w:szCs w:val="22"/>
        </w:rPr>
      </w:pPr>
      <w:r w:rsidRPr="006B25E2">
        <w:rPr>
          <w:rFonts w:ascii="Arial" w:hAnsi="Arial" w:cs="Arial"/>
          <w:sz w:val="22"/>
          <w:szCs w:val="22"/>
        </w:rPr>
        <w:t>The estimation requires significant management judgement in setting certain non</w:t>
      </w:r>
      <w:r w:rsidRPr="006B25E2">
        <w:rPr>
          <w:rFonts w:ascii="Arial" w:hAnsi="Arial" w:cs="Arial"/>
          <w:sz w:val="22"/>
          <w:szCs w:val="22"/>
        </w:rPr>
        <w:noBreakHyphen/>
        <w:t>economic assumptions, including expected loss ratios, commission rates, and expense rates, along with the valuation methodology and risk factors relevant to insurance contract liabilities. I therefore focused on the audit of the valuation of liabilities for remaining coverage for insurance contracts not measured under PAA as follows.</w:t>
      </w:r>
    </w:p>
    <w:p w14:paraId="43EE797B" w14:textId="77777777" w:rsidR="006B25E2" w:rsidRPr="006B25E2" w:rsidRDefault="006B25E2" w:rsidP="006B25E2">
      <w:pPr>
        <w:pStyle w:val="ps-000-normal"/>
        <w:numPr>
          <w:ilvl w:val="0"/>
          <w:numId w:val="10"/>
        </w:numPr>
        <w:spacing w:before="120" w:line="380" w:lineRule="exact"/>
        <w:ind w:left="540" w:hanging="540"/>
        <w:rPr>
          <w:rFonts w:ascii="Arial" w:hAnsi="Arial" w:cs="Arial"/>
          <w:sz w:val="22"/>
          <w:szCs w:val="22"/>
        </w:rPr>
      </w:pPr>
      <w:r w:rsidRPr="006B25E2">
        <w:rPr>
          <w:rFonts w:ascii="Arial" w:hAnsi="Arial" w:cs="Arial"/>
          <w:sz w:val="22"/>
          <w:szCs w:val="22"/>
        </w:rPr>
        <w:t xml:space="preserve">Evaluated the design and operating effectiveness of internal controls related to premium recognition, premium collection, and commissions through inquiry of management and sample-based testing of controls over the approval and recording of premiums, commissions, and premium receipts, including inspection of policy documentation, premium receipts, and recalculation of related commissions. </w:t>
      </w:r>
    </w:p>
    <w:p w14:paraId="5151E383" w14:textId="77777777" w:rsidR="006B25E2" w:rsidRDefault="006B25E2">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2EB72B64" w14:textId="682AE9A2" w:rsidR="006B25E2" w:rsidRPr="006B25E2" w:rsidRDefault="006B25E2" w:rsidP="006B25E2">
      <w:pPr>
        <w:pStyle w:val="ps-000-normal"/>
        <w:numPr>
          <w:ilvl w:val="0"/>
          <w:numId w:val="10"/>
        </w:numPr>
        <w:spacing w:before="120" w:line="380" w:lineRule="exact"/>
        <w:ind w:left="540" w:hanging="540"/>
        <w:rPr>
          <w:rFonts w:ascii="Arial" w:hAnsi="Arial" w:cs="Arial"/>
          <w:sz w:val="22"/>
          <w:szCs w:val="22"/>
        </w:rPr>
      </w:pPr>
      <w:r w:rsidRPr="006B25E2">
        <w:rPr>
          <w:rFonts w:ascii="Arial" w:hAnsi="Arial" w:cs="Arial"/>
          <w:sz w:val="22"/>
          <w:szCs w:val="22"/>
        </w:rPr>
        <w:lastRenderedPageBreak/>
        <w:t xml:space="preserve">Sample tested premium data for policies issued during the year against underlying insurance contracts to verify accuracy of information relevant to the valuation, such as coverage period, coverage start date, and premium amount, including commission recalculations. </w:t>
      </w:r>
    </w:p>
    <w:p w14:paraId="44086EA6" w14:textId="77777777" w:rsidR="006B25E2" w:rsidRPr="006B25E2" w:rsidRDefault="006B25E2" w:rsidP="006B25E2">
      <w:pPr>
        <w:pStyle w:val="ps-000-normal"/>
        <w:numPr>
          <w:ilvl w:val="0"/>
          <w:numId w:val="10"/>
        </w:numPr>
        <w:spacing w:before="120" w:line="380" w:lineRule="exact"/>
        <w:ind w:left="540" w:hanging="540"/>
        <w:rPr>
          <w:rFonts w:ascii="Arial" w:hAnsi="Arial" w:cs="Arial"/>
          <w:sz w:val="22"/>
          <w:szCs w:val="22"/>
        </w:rPr>
      </w:pPr>
      <w:r w:rsidRPr="006B25E2">
        <w:rPr>
          <w:rFonts w:ascii="Arial" w:hAnsi="Arial" w:cs="Arial"/>
          <w:sz w:val="22"/>
          <w:szCs w:val="22"/>
        </w:rPr>
        <w:t xml:space="preserve">Sample tested data used in setting key assumptions, including loss ratios, commission rates, and expense rates, by </w:t>
      </w:r>
      <w:proofErr w:type="gramStart"/>
      <w:r w:rsidRPr="006B25E2">
        <w:rPr>
          <w:rFonts w:ascii="Arial" w:hAnsi="Arial" w:cs="Arial"/>
          <w:sz w:val="22"/>
          <w:szCs w:val="22"/>
        </w:rPr>
        <w:t>comparing to</w:t>
      </w:r>
      <w:proofErr w:type="gramEnd"/>
      <w:r w:rsidRPr="006B25E2">
        <w:rPr>
          <w:rFonts w:ascii="Arial" w:hAnsi="Arial" w:cs="Arial"/>
          <w:sz w:val="22"/>
          <w:szCs w:val="22"/>
        </w:rPr>
        <w:t xml:space="preserve"> historical information, performing recalculations, and assessing the number of years of historical data used. </w:t>
      </w:r>
    </w:p>
    <w:p w14:paraId="1289AF8C" w14:textId="77777777" w:rsidR="006B25E2" w:rsidRPr="006B25E2" w:rsidRDefault="006B25E2" w:rsidP="006B25E2">
      <w:pPr>
        <w:pStyle w:val="ps-000-normal"/>
        <w:numPr>
          <w:ilvl w:val="0"/>
          <w:numId w:val="10"/>
        </w:numPr>
        <w:spacing w:before="120" w:line="380" w:lineRule="exact"/>
        <w:ind w:left="540" w:hanging="540"/>
        <w:rPr>
          <w:rFonts w:ascii="Arial" w:hAnsi="Arial" w:cs="Arial"/>
          <w:sz w:val="22"/>
          <w:szCs w:val="22"/>
        </w:rPr>
      </w:pPr>
      <w:r w:rsidRPr="006B25E2">
        <w:rPr>
          <w:rFonts w:ascii="Arial" w:hAnsi="Arial" w:cs="Arial"/>
          <w:sz w:val="22"/>
          <w:szCs w:val="22"/>
        </w:rPr>
        <w:t>Engaged actuarial specialists to review the valuation methodology, perform sample recalculations of future cash flow estimates, and assess key assumptions used by management in estimating future cash flows and the risk adjustment for non</w:t>
      </w:r>
      <w:r w:rsidRPr="006B25E2">
        <w:rPr>
          <w:rFonts w:ascii="Arial" w:hAnsi="Arial" w:cs="Arial"/>
          <w:sz w:val="22"/>
          <w:szCs w:val="22"/>
        </w:rPr>
        <w:noBreakHyphen/>
        <w:t xml:space="preserve">financial risk. This included analytical review of movements in related liabilities, estimated future cash flows, and </w:t>
      </w:r>
      <w:proofErr w:type="gramStart"/>
      <w:r w:rsidRPr="006B25E2">
        <w:rPr>
          <w:rFonts w:ascii="Arial" w:hAnsi="Arial" w:cs="Arial"/>
          <w:sz w:val="22"/>
          <w:szCs w:val="22"/>
        </w:rPr>
        <w:t>the risk</w:t>
      </w:r>
      <w:proofErr w:type="gramEnd"/>
      <w:r w:rsidRPr="006B25E2">
        <w:rPr>
          <w:rFonts w:ascii="Arial" w:hAnsi="Arial" w:cs="Arial"/>
          <w:sz w:val="22"/>
          <w:szCs w:val="22"/>
        </w:rPr>
        <w:t xml:space="preserve"> adjustment. </w:t>
      </w:r>
    </w:p>
    <w:p w14:paraId="47204E26" w14:textId="77777777" w:rsidR="006B25E2" w:rsidRPr="006B25E2" w:rsidRDefault="006B25E2" w:rsidP="006B25E2">
      <w:pPr>
        <w:pStyle w:val="ps-000-normal"/>
        <w:numPr>
          <w:ilvl w:val="0"/>
          <w:numId w:val="10"/>
        </w:numPr>
        <w:spacing w:before="120" w:line="380" w:lineRule="exact"/>
        <w:ind w:left="540" w:hanging="540"/>
        <w:rPr>
          <w:rFonts w:ascii="Arial" w:hAnsi="Arial" w:cs="Arial"/>
          <w:sz w:val="22"/>
          <w:szCs w:val="22"/>
        </w:rPr>
      </w:pPr>
      <w:proofErr w:type="spellStart"/>
      <w:r w:rsidRPr="006B25E2">
        <w:rPr>
          <w:rFonts w:ascii="Arial" w:hAnsi="Arial" w:cs="Arial"/>
          <w:sz w:val="22"/>
          <w:szCs w:val="22"/>
        </w:rPr>
        <w:t>Analysed</w:t>
      </w:r>
      <w:proofErr w:type="spellEnd"/>
      <w:r w:rsidRPr="006B25E2">
        <w:rPr>
          <w:rFonts w:ascii="Arial" w:hAnsi="Arial" w:cs="Arial"/>
          <w:sz w:val="22"/>
          <w:szCs w:val="22"/>
        </w:rPr>
        <w:t xml:space="preserve"> risk adjustment rates for non</w:t>
      </w:r>
      <w:r w:rsidRPr="006B25E2">
        <w:rPr>
          <w:rFonts w:ascii="Arial" w:hAnsi="Arial" w:cs="Arial"/>
          <w:sz w:val="22"/>
          <w:szCs w:val="22"/>
        </w:rPr>
        <w:noBreakHyphen/>
        <w:t>financial risk relative to the prior year for groups of insurance contracts with similar risk characteristics.</w:t>
      </w:r>
    </w:p>
    <w:p w14:paraId="63AD25DF" w14:textId="45D7F655" w:rsidR="00167D6F" w:rsidRPr="00C1558B" w:rsidRDefault="00167D6F" w:rsidP="00C1558B">
      <w:pPr>
        <w:pStyle w:val="ps-000-normal"/>
        <w:spacing w:before="120" w:line="380" w:lineRule="exact"/>
        <w:rPr>
          <w:rFonts w:ascii="Arial" w:hAnsi="Arial" w:cs="Arial"/>
          <w:b/>
          <w:bCs/>
          <w:sz w:val="22"/>
          <w:szCs w:val="22"/>
        </w:rPr>
      </w:pPr>
      <w:r w:rsidRPr="00C1558B">
        <w:rPr>
          <w:rFonts w:ascii="Arial" w:hAnsi="Arial" w:cs="Arial"/>
          <w:b/>
          <w:bCs/>
          <w:sz w:val="22"/>
          <w:szCs w:val="22"/>
        </w:rPr>
        <w:t>Other Information</w:t>
      </w:r>
    </w:p>
    <w:p w14:paraId="0492D03B" w14:textId="53813E37" w:rsidR="00167D6F" w:rsidRPr="00C1558B" w:rsidRDefault="00167D6F" w:rsidP="00C1558B">
      <w:pPr>
        <w:spacing w:before="120" w:after="120" w:line="380" w:lineRule="exact"/>
        <w:rPr>
          <w:rFonts w:ascii="Arial" w:hAnsi="Arial" w:cs="Arial"/>
          <w:sz w:val="22"/>
          <w:szCs w:val="22"/>
        </w:rPr>
      </w:pPr>
      <w:r w:rsidRPr="00C1558B">
        <w:rPr>
          <w:rFonts w:ascii="Arial" w:hAnsi="Arial" w:cs="Arial"/>
          <w:sz w:val="22"/>
          <w:szCs w:val="22"/>
        </w:rPr>
        <w:t xml:space="preserve">Management is responsible for the other information. The other information </w:t>
      </w:r>
      <w:proofErr w:type="gramStart"/>
      <w:r w:rsidRPr="00C1558B">
        <w:rPr>
          <w:rFonts w:ascii="Arial" w:hAnsi="Arial" w:cs="Arial"/>
          <w:sz w:val="22"/>
          <w:szCs w:val="22"/>
        </w:rPr>
        <w:t>comprise</w:t>
      </w:r>
      <w:proofErr w:type="gramEnd"/>
      <w:r w:rsidRPr="00C1558B">
        <w:rPr>
          <w:rFonts w:ascii="Arial" w:hAnsi="Arial" w:cs="Arial"/>
          <w:sz w:val="22"/>
          <w:szCs w:val="22"/>
        </w:rPr>
        <w:t xml:space="preserve"> the information included in annual report of the </w:t>
      </w:r>
      <w:proofErr w:type="gramStart"/>
      <w:r w:rsidR="00D03C72" w:rsidRPr="00C1558B">
        <w:rPr>
          <w:rFonts w:ascii="Arial" w:hAnsi="Arial" w:cs="Arial"/>
          <w:sz w:val="22"/>
          <w:szCs w:val="22"/>
        </w:rPr>
        <w:t>Group</w:t>
      </w:r>
      <w:r w:rsidRPr="00C1558B">
        <w:rPr>
          <w:rFonts w:ascii="Arial" w:hAnsi="Arial" w:cs="Arial"/>
          <w:sz w:val="22"/>
          <w:szCs w:val="22"/>
        </w:rPr>
        <w:t>, but</w:t>
      </w:r>
      <w:proofErr w:type="gramEnd"/>
      <w:r w:rsidRPr="00C1558B">
        <w:rPr>
          <w:rFonts w:ascii="Arial" w:hAnsi="Arial" w:cs="Arial"/>
          <w:sz w:val="22"/>
          <w:szCs w:val="22"/>
        </w:rPr>
        <w:t xml:space="preserve"> does not include the financial statements and my auditor’s report thereon.</w:t>
      </w:r>
      <w:r w:rsidR="00B927DA" w:rsidRPr="00C1558B">
        <w:rPr>
          <w:rFonts w:ascii="Arial" w:hAnsi="Arial" w:cs="Arial"/>
          <w:sz w:val="22"/>
          <w:szCs w:val="22"/>
        </w:rPr>
        <w:t xml:space="preserve"> The annual report of the Group is expected to be </w:t>
      </w:r>
      <w:proofErr w:type="gramStart"/>
      <w:r w:rsidR="00B927DA" w:rsidRPr="00C1558B">
        <w:rPr>
          <w:rFonts w:ascii="Arial" w:hAnsi="Arial" w:cs="Arial"/>
          <w:sz w:val="22"/>
          <w:szCs w:val="22"/>
        </w:rPr>
        <w:t>make</w:t>
      </w:r>
      <w:proofErr w:type="gramEnd"/>
      <w:r w:rsidR="00B927DA" w:rsidRPr="00C1558B">
        <w:rPr>
          <w:rFonts w:ascii="Arial" w:hAnsi="Arial" w:cs="Arial"/>
          <w:sz w:val="22"/>
          <w:szCs w:val="22"/>
        </w:rPr>
        <w:t xml:space="preserve"> available to me after the date of this </w:t>
      </w:r>
      <w:proofErr w:type="gramStart"/>
      <w:r w:rsidR="00B927DA" w:rsidRPr="00C1558B">
        <w:rPr>
          <w:rFonts w:ascii="Arial" w:hAnsi="Arial" w:cs="Arial"/>
          <w:sz w:val="22"/>
          <w:szCs w:val="22"/>
        </w:rPr>
        <w:t>auditors</w:t>
      </w:r>
      <w:proofErr w:type="gramEnd"/>
      <w:r w:rsidR="00B927DA" w:rsidRPr="00C1558B">
        <w:rPr>
          <w:rFonts w:ascii="Arial" w:hAnsi="Arial" w:cs="Arial"/>
          <w:sz w:val="22"/>
          <w:szCs w:val="22"/>
        </w:rPr>
        <w:t xml:space="preserve"> report.</w:t>
      </w:r>
    </w:p>
    <w:p w14:paraId="0F4B1059" w14:textId="77777777" w:rsidR="00167D6F" w:rsidRPr="00C1558B" w:rsidRDefault="00167D6F" w:rsidP="00C1558B">
      <w:pPr>
        <w:spacing w:before="120" w:after="120" w:line="380" w:lineRule="exact"/>
        <w:rPr>
          <w:rFonts w:ascii="Arial" w:hAnsi="Arial" w:cs="Arial"/>
          <w:sz w:val="22"/>
          <w:szCs w:val="22"/>
        </w:rPr>
      </w:pPr>
      <w:r w:rsidRPr="00C1558B">
        <w:rPr>
          <w:rFonts w:ascii="Arial" w:hAnsi="Arial" w:cs="Arial"/>
          <w:sz w:val="22"/>
          <w:szCs w:val="22"/>
        </w:rPr>
        <w:t xml:space="preserve">My opinion on the financial statements does not cover </w:t>
      </w:r>
      <w:proofErr w:type="gramStart"/>
      <w:r w:rsidRPr="00C1558B">
        <w:rPr>
          <w:rFonts w:ascii="Arial" w:hAnsi="Arial" w:cs="Arial"/>
          <w:sz w:val="22"/>
          <w:szCs w:val="22"/>
        </w:rPr>
        <w:t>the</w:t>
      </w:r>
      <w:proofErr w:type="gramEnd"/>
      <w:r w:rsidRPr="00C1558B">
        <w:rPr>
          <w:rFonts w:ascii="Arial" w:hAnsi="Arial" w:cs="Arial"/>
          <w:sz w:val="22"/>
          <w:szCs w:val="22"/>
        </w:rPr>
        <w:t xml:space="preserve"> other information and I do not express any form of assurance conclusion thereon.</w:t>
      </w:r>
    </w:p>
    <w:p w14:paraId="5D7CAA79" w14:textId="15C104C2" w:rsidR="00D37281" w:rsidRPr="00C1558B" w:rsidRDefault="00167D6F" w:rsidP="00C1558B">
      <w:pPr>
        <w:spacing w:before="120" w:after="120" w:line="380" w:lineRule="exact"/>
        <w:rPr>
          <w:rFonts w:ascii="Arial" w:hAnsi="Arial" w:cstheme="minorBidi"/>
          <w:sz w:val="22"/>
          <w:szCs w:val="22"/>
        </w:rPr>
      </w:pPr>
      <w:r w:rsidRPr="00C1558B">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32074F4F" w14:textId="77777777" w:rsidR="006B3721" w:rsidRPr="00C1558B" w:rsidRDefault="006B3721" w:rsidP="00C1558B">
      <w:pPr>
        <w:spacing w:before="120" w:after="120" w:line="380" w:lineRule="exact"/>
        <w:rPr>
          <w:rFonts w:ascii="Arial" w:hAnsi="Arial" w:cs="Arial"/>
          <w:sz w:val="22"/>
          <w:szCs w:val="22"/>
        </w:rPr>
      </w:pPr>
      <w:r w:rsidRPr="00C1558B">
        <w:rPr>
          <w:rFonts w:ascii="Arial" w:hAnsi="Arial" w:cs="Arial" w:hint="cs"/>
          <w:sz w:val="22"/>
          <w:szCs w:val="22"/>
        </w:rPr>
        <w:t xml:space="preserve">When I read the annual report of the Group, if I conclude that there is a material </w:t>
      </w:r>
      <w:proofErr w:type="gramStart"/>
      <w:r w:rsidRPr="00C1558B">
        <w:rPr>
          <w:rFonts w:ascii="Arial" w:hAnsi="Arial" w:cs="Arial" w:hint="cs"/>
          <w:sz w:val="22"/>
          <w:szCs w:val="22"/>
        </w:rPr>
        <w:t>misstatement</w:t>
      </w:r>
      <w:proofErr w:type="gramEnd"/>
      <w:r w:rsidRPr="00C1558B">
        <w:rPr>
          <w:rFonts w:ascii="Arial" w:hAnsi="Arial" w:cs="Arial" w:hint="cs"/>
          <w:sz w:val="22"/>
          <w:szCs w:val="22"/>
        </w:rPr>
        <w:t xml:space="preserve"> therein, I am required to communicate the matter to those charged with governance for correction of the misstatement.</w:t>
      </w:r>
    </w:p>
    <w:p w14:paraId="7F9FB6B4" w14:textId="77777777" w:rsidR="00C1558B" w:rsidRDefault="00C1558B">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2DC81F2E" w14:textId="239AAB05" w:rsidR="00BC73E2" w:rsidRPr="00C1558B" w:rsidRDefault="00BC73E2" w:rsidP="00C1558B">
      <w:pPr>
        <w:pStyle w:val="ps-000-normal"/>
        <w:spacing w:before="120" w:line="380" w:lineRule="exact"/>
        <w:rPr>
          <w:rFonts w:ascii="Arial" w:hAnsi="Arial" w:cs="Arial"/>
          <w:b/>
          <w:bCs/>
          <w:sz w:val="22"/>
          <w:szCs w:val="22"/>
        </w:rPr>
      </w:pPr>
      <w:r w:rsidRPr="00C1558B">
        <w:rPr>
          <w:rFonts w:ascii="Arial" w:hAnsi="Arial" w:cs="Arial"/>
          <w:b/>
          <w:bCs/>
          <w:sz w:val="22"/>
          <w:szCs w:val="22"/>
        </w:rPr>
        <w:lastRenderedPageBreak/>
        <w:t>Responsibilities of Management and Those Charged with Governance for the Financial Statements</w:t>
      </w:r>
    </w:p>
    <w:p w14:paraId="7160F350" w14:textId="77777777" w:rsidR="00BC73E2" w:rsidRPr="00C1558B" w:rsidRDefault="00BC73E2" w:rsidP="00C1558B">
      <w:pPr>
        <w:overflowPunct/>
        <w:autoSpaceDE/>
        <w:autoSpaceDN/>
        <w:adjustRightInd/>
        <w:spacing w:before="120" w:after="120" w:line="380" w:lineRule="exact"/>
        <w:textAlignment w:val="auto"/>
        <w:rPr>
          <w:rFonts w:ascii="Arial" w:hAnsi="Arial" w:cs="Arial"/>
          <w:color w:val="000000"/>
          <w:sz w:val="22"/>
          <w:szCs w:val="22"/>
        </w:rPr>
      </w:pPr>
      <w:r w:rsidRPr="00C1558B">
        <w:rPr>
          <w:rFonts w:ascii="Arial" w:hAnsi="Arial" w:cs="Arial"/>
          <w:color w:val="000000"/>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2F632878" w14:textId="3D49C9CD" w:rsidR="00BC73E2" w:rsidRPr="00C1558B" w:rsidRDefault="00BC73E2" w:rsidP="00C1558B">
      <w:pPr>
        <w:overflowPunct/>
        <w:autoSpaceDE/>
        <w:autoSpaceDN/>
        <w:adjustRightInd/>
        <w:spacing w:before="120" w:after="120" w:line="380" w:lineRule="exact"/>
        <w:textAlignment w:val="auto"/>
        <w:rPr>
          <w:rFonts w:ascii="Arial" w:hAnsi="Arial" w:cs="Arial"/>
          <w:color w:val="000000"/>
          <w:sz w:val="22"/>
          <w:szCs w:val="22"/>
        </w:rPr>
      </w:pPr>
      <w:r w:rsidRPr="00C1558B">
        <w:rPr>
          <w:rFonts w:ascii="Arial" w:hAnsi="Arial" w:cs="Arial"/>
          <w:color w:val="000000"/>
          <w:sz w:val="22"/>
          <w:szCs w:val="22"/>
        </w:rPr>
        <w:t xml:space="preserve">In preparing the financial statements, management is responsible for assessing the </w:t>
      </w:r>
      <w:r w:rsidR="0031434F" w:rsidRPr="00C1558B">
        <w:rPr>
          <w:rFonts w:ascii="Arial" w:hAnsi="Arial" w:cs="Arial"/>
          <w:color w:val="000000"/>
          <w:sz w:val="22"/>
          <w:szCs w:val="22"/>
        </w:rPr>
        <w:t>Group</w:t>
      </w:r>
      <w:r w:rsidRPr="00C1558B">
        <w:rPr>
          <w:rFonts w:ascii="Arial" w:hAnsi="Arial" w:cs="Arial"/>
          <w:color w:val="000000"/>
          <w:sz w:val="22"/>
          <w:szCs w:val="22"/>
        </w:rPr>
        <w:t xml:space="preserve">’s ability to continue as a going concern, disclosing, as applicable, matters related to going concern and using the going concern basis of accounting unless management either intends to liquidate the </w:t>
      </w:r>
      <w:r w:rsidR="0031434F" w:rsidRPr="00C1558B">
        <w:rPr>
          <w:rFonts w:ascii="Arial" w:hAnsi="Arial" w:cs="Arial"/>
          <w:color w:val="000000"/>
          <w:sz w:val="22"/>
          <w:szCs w:val="22"/>
        </w:rPr>
        <w:t>Group</w:t>
      </w:r>
      <w:r w:rsidRPr="00C1558B">
        <w:rPr>
          <w:rFonts w:ascii="Arial" w:hAnsi="Arial" w:cs="Arial"/>
          <w:color w:val="000000"/>
          <w:sz w:val="22"/>
          <w:szCs w:val="22"/>
        </w:rPr>
        <w:t xml:space="preserve"> or to cease operations, or has no realistic alternative but to do so.</w:t>
      </w:r>
    </w:p>
    <w:p w14:paraId="0A14465C" w14:textId="42CCA355" w:rsidR="00BC73E2" w:rsidRPr="00C1558B" w:rsidRDefault="00BC73E2" w:rsidP="00C1558B">
      <w:pPr>
        <w:overflowPunct/>
        <w:autoSpaceDE/>
        <w:autoSpaceDN/>
        <w:adjustRightInd/>
        <w:spacing w:before="120" w:after="120" w:line="380" w:lineRule="exact"/>
        <w:textAlignment w:val="auto"/>
        <w:rPr>
          <w:rFonts w:ascii="Arial" w:hAnsi="Arial" w:cs="Arial"/>
          <w:color w:val="000000"/>
          <w:sz w:val="22"/>
          <w:szCs w:val="22"/>
        </w:rPr>
      </w:pPr>
      <w:r w:rsidRPr="00C1558B">
        <w:rPr>
          <w:rFonts w:ascii="Arial" w:hAnsi="Arial" w:cs="Arial"/>
          <w:color w:val="000000"/>
          <w:sz w:val="22"/>
          <w:szCs w:val="22"/>
        </w:rPr>
        <w:t xml:space="preserve">Those charged with governance are responsible for overseeing the </w:t>
      </w:r>
      <w:r w:rsidR="0031434F" w:rsidRPr="00C1558B">
        <w:rPr>
          <w:rFonts w:ascii="Arial" w:hAnsi="Arial" w:cs="Arial"/>
          <w:color w:val="000000"/>
          <w:sz w:val="22"/>
          <w:szCs w:val="22"/>
        </w:rPr>
        <w:t>Group</w:t>
      </w:r>
      <w:r w:rsidRPr="00C1558B">
        <w:rPr>
          <w:rFonts w:ascii="Arial" w:hAnsi="Arial" w:cs="Arial"/>
          <w:color w:val="000000"/>
          <w:sz w:val="22"/>
          <w:szCs w:val="22"/>
        </w:rPr>
        <w:t>’s financial reporting process.</w:t>
      </w:r>
    </w:p>
    <w:p w14:paraId="46DBE4D4" w14:textId="78F50EA6" w:rsidR="00BC73E2" w:rsidRPr="00C1558B" w:rsidRDefault="00BC73E2" w:rsidP="00C1558B">
      <w:pPr>
        <w:overflowPunct/>
        <w:autoSpaceDE/>
        <w:autoSpaceDN/>
        <w:adjustRightInd/>
        <w:spacing w:before="120" w:after="120" w:line="380" w:lineRule="exact"/>
        <w:textAlignment w:val="auto"/>
        <w:rPr>
          <w:rFonts w:ascii="Arial" w:hAnsi="Arial" w:cs="Arial"/>
          <w:b/>
          <w:bCs/>
          <w:color w:val="000000"/>
          <w:sz w:val="22"/>
          <w:szCs w:val="22"/>
        </w:rPr>
      </w:pPr>
      <w:r w:rsidRPr="00C1558B">
        <w:rPr>
          <w:rFonts w:ascii="Arial" w:hAnsi="Arial" w:cs="Arial"/>
          <w:b/>
          <w:bCs/>
          <w:color w:val="000000"/>
          <w:sz w:val="22"/>
          <w:szCs w:val="22"/>
        </w:rPr>
        <w:t>Auditor’s Responsibilities for the Audit of the Financial Statements</w:t>
      </w:r>
    </w:p>
    <w:p w14:paraId="7CE675B3" w14:textId="77777777" w:rsidR="00BC73E2" w:rsidRPr="00C1558B" w:rsidRDefault="00BC73E2" w:rsidP="00C1558B">
      <w:pPr>
        <w:overflowPunct/>
        <w:autoSpaceDE/>
        <w:autoSpaceDN/>
        <w:adjustRightInd/>
        <w:spacing w:before="120" w:after="120" w:line="380" w:lineRule="exact"/>
        <w:textAlignment w:val="auto"/>
        <w:rPr>
          <w:rFonts w:ascii="Arial" w:hAnsi="Arial" w:cs="Arial"/>
          <w:i/>
          <w:iCs/>
          <w:color w:val="8496B0"/>
          <w:sz w:val="22"/>
          <w:szCs w:val="22"/>
        </w:rPr>
      </w:pPr>
      <w:r w:rsidRPr="00C1558B">
        <w:rPr>
          <w:rFonts w:ascii="Arial" w:hAnsi="Arial" w:cs="Arial"/>
          <w:color w:val="000000"/>
          <w:sz w:val="22"/>
          <w:szCs w:val="22"/>
        </w:rPr>
        <w:t xml:space="preserve">My objectives are to obtain reasonable assurance about whether the financial statements </w:t>
      </w:r>
      <w:proofErr w:type="gramStart"/>
      <w:r w:rsidRPr="00C1558B">
        <w:rPr>
          <w:rFonts w:ascii="Arial" w:hAnsi="Arial" w:cs="Arial"/>
          <w:color w:val="000000"/>
          <w:sz w:val="22"/>
          <w:szCs w:val="22"/>
        </w:rPr>
        <w:t>as a whole are</w:t>
      </w:r>
      <w:proofErr w:type="gramEnd"/>
      <w:r w:rsidRPr="00C1558B">
        <w:rPr>
          <w:rFonts w:ascii="Arial" w:hAnsi="Arial" w:cs="Arial"/>
          <w:color w:val="000000"/>
          <w:sz w:val="22"/>
          <w:szCs w:val="22"/>
        </w:rPr>
        <w:t xml:space="preserve"> free from material misstatement, whether due to fraud or error, and to issue an auditor’s report that includes my opinion. Reasonable assurance is a high level of </w:t>
      </w:r>
      <w:proofErr w:type="gramStart"/>
      <w:r w:rsidRPr="00C1558B">
        <w:rPr>
          <w:rFonts w:ascii="Arial" w:hAnsi="Arial" w:cs="Arial"/>
          <w:color w:val="000000"/>
          <w:sz w:val="22"/>
          <w:szCs w:val="22"/>
        </w:rPr>
        <w:t>assurance, but</w:t>
      </w:r>
      <w:proofErr w:type="gramEnd"/>
      <w:r w:rsidRPr="00C1558B">
        <w:rPr>
          <w:rFonts w:ascii="Arial" w:hAnsi="Arial" w:cs="Arial"/>
          <w:color w:val="000000"/>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1558B">
        <w:rPr>
          <w:rFonts w:ascii="Arial" w:hAnsi="Arial" w:cs="Arial"/>
          <w:color w:val="000000"/>
          <w:sz w:val="22"/>
          <w:szCs w:val="22"/>
        </w:rPr>
        <w:t>on the basis of</w:t>
      </w:r>
      <w:proofErr w:type="gramEnd"/>
      <w:r w:rsidRPr="00C1558B">
        <w:rPr>
          <w:rFonts w:ascii="Arial" w:hAnsi="Arial" w:cs="Arial"/>
          <w:color w:val="000000"/>
          <w:sz w:val="22"/>
          <w:szCs w:val="22"/>
        </w:rPr>
        <w:t xml:space="preserve"> these financial statements. </w:t>
      </w:r>
    </w:p>
    <w:p w14:paraId="303E4851" w14:textId="2C426114" w:rsidR="00BC73E2" w:rsidRPr="00C1558B" w:rsidRDefault="00BC73E2" w:rsidP="00C1558B">
      <w:pPr>
        <w:overflowPunct/>
        <w:autoSpaceDE/>
        <w:autoSpaceDN/>
        <w:adjustRightInd/>
        <w:spacing w:before="120" w:after="120" w:line="380" w:lineRule="exact"/>
        <w:textAlignment w:val="auto"/>
        <w:rPr>
          <w:rFonts w:ascii="Arial" w:hAnsi="Arial" w:cs="Arial"/>
          <w:color w:val="000000"/>
          <w:sz w:val="22"/>
          <w:szCs w:val="22"/>
        </w:rPr>
      </w:pPr>
      <w:r w:rsidRPr="00C1558B">
        <w:rPr>
          <w:rFonts w:ascii="Arial" w:hAnsi="Arial" w:cs="Arial"/>
          <w:color w:val="000000"/>
          <w:sz w:val="22"/>
          <w:szCs w:val="22"/>
        </w:rPr>
        <w:t>As part of an audit in accordance with Thai Standards on Auditing, I exercise professional judgement and maintain professional skepticism throughout the audit. I also:</w:t>
      </w:r>
    </w:p>
    <w:p w14:paraId="606921AB" w14:textId="77777777" w:rsidR="00BC73E2" w:rsidRPr="00C1558B" w:rsidRDefault="00BC73E2" w:rsidP="00C1558B">
      <w:pPr>
        <w:numPr>
          <w:ilvl w:val="0"/>
          <w:numId w:val="1"/>
        </w:numPr>
        <w:overflowPunct/>
        <w:autoSpaceDE/>
        <w:autoSpaceDN/>
        <w:adjustRightInd/>
        <w:spacing w:before="120" w:after="120" w:line="380" w:lineRule="exact"/>
        <w:ind w:left="540" w:hanging="540"/>
        <w:textAlignment w:val="auto"/>
        <w:rPr>
          <w:rFonts w:ascii="Arial" w:hAnsi="Arial" w:cs="Arial"/>
          <w:color w:val="000000"/>
          <w:sz w:val="22"/>
          <w:szCs w:val="22"/>
        </w:rPr>
      </w:pPr>
      <w:r w:rsidRPr="00C1558B">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FC1CF9F" w14:textId="77777777" w:rsidR="00C1558B" w:rsidRDefault="00C1558B">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3C3D7995" w14:textId="2D311A11" w:rsidR="00BC73E2" w:rsidRPr="00C1558B" w:rsidRDefault="00BC73E2" w:rsidP="00C1558B">
      <w:pPr>
        <w:numPr>
          <w:ilvl w:val="0"/>
          <w:numId w:val="1"/>
        </w:numPr>
        <w:overflowPunct/>
        <w:autoSpaceDE/>
        <w:autoSpaceDN/>
        <w:adjustRightInd/>
        <w:spacing w:before="120" w:after="120" w:line="380" w:lineRule="exact"/>
        <w:ind w:left="540" w:hanging="540"/>
        <w:textAlignment w:val="auto"/>
        <w:rPr>
          <w:rFonts w:ascii="Arial" w:hAnsi="Arial" w:cs="Arial"/>
          <w:color w:val="000000"/>
          <w:sz w:val="22"/>
          <w:szCs w:val="22"/>
        </w:rPr>
      </w:pPr>
      <w:r w:rsidRPr="00C1558B">
        <w:rPr>
          <w:rFonts w:ascii="Arial" w:hAnsi="Arial" w:cs="Arial"/>
          <w:color w:val="000000"/>
          <w:sz w:val="22"/>
          <w:szCs w:val="22"/>
        </w:rPr>
        <w:lastRenderedPageBreak/>
        <w:t xml:space="preserve">Obtain an understanding of internal control relevant to the audit </w:t>
      </w:r>
      <w:proofErr w:type="gramStart"/>
      <w:r w:rsidRPr="00C1558B">
        <w:rPr>
          <w:rFonts w:ascii="Arial" w:hAnsi="Arial" w:cs="Arial"/>
          <w:color w:val="000000"/>
          <w:sz w:val="22"/>
          <w:szCs w:val="22"/>
        </w:rPr>
        <w:t>in order to</w:t>
      </w:r>
      <w:proofErr w:type="gramEnd"/>
      <w:r w:rsidRPr="00C1558B">
        <w:rPr>
          <w:rFonts w:ascii="Arial" w:hAnsi="Arial" w:cs="Arial"/>
          <w:color w:val="000000"/>
          <w:sz w:val="22"/>
          <w:szCs w:val="22"/>
        </w:rPr>
        <w:t xml:space="preserve"> design audit procedures that are appropriate in the circumstances, but not for the purpose of expressing an opinion on the effectiveness of the </w:t>
      </w:r>
      <w:r w:rsidR="004236DD" w:rsidRPr="00C1558B">
        <w:rPr>
          <w:rFonts w:ascii="Arial" w:hAnsi="Arial" w:cs="Arial"/>
          <w:color w:val="000000"/>
          <w:sz w:val="22"/>
          <w:szCs w:val="22"/>
        </w:rPr>
        <w:t>Group</w:t>
      </w:r>
      <w:r w:rsidRPr="00C1558B">
        <w:rPr>
          <w:rFonts w:ascii="Arial" w:hAnsi="Arial" w:cs="Arial"/>
          <w:color w:val="000000"/>
          <w:sz w:val="22"/>
          <w:szCs w:val="22"/>
        </w:rPr>
        <w:t>’s internal control.</w:t>
      </w:r>
    </w:p>
    <w:p w14:paraId="1D6E2884" w14:textId="77777777" w:rsidR="00BC73E2" w:rsidRPr="00C1558B" w:rsidRDefault="00BC73E2" w:rsidP="00C1558B">
      <w:pPr>
        <w:numPr>
          <w:ilvl w:val="0"/>
          <w:numId w:val="1"/>
        </w:numPr>
        <w:overflowPunct/>
        <w:autoSpaceDE/>
        <w:autoSpaceDN/>
        <w:adjustRightInd/>
        <w:spacing w:before="120" w:after="120" w:line="380" w:lineRule="exact"/>
        <w:ind w:left="540" w:hanging="540"/>
        <w:textAlignment w:val="auto"/>
        <w:rPr>
          <w:rFonts w:ascii="Arial" w:hAnsi="Arial" w:cs="Arial"/>
          <w:color w:val="000000"/>
          <w:sz w:val="22"/>
          <w:szCs w:val="22"/>
        </w:rPr>
      </w:pPr>
      <w:r w:rsidRPr="00C1558B">
        <w:rPr>
          <w:rFonts w:ascii="Arial" w:hAnsi="Arial" w:cs="Arial"/>
          <w:color w:val="000000"/>
          <w:sz w:val="22"/>
          <w:szCs w:val="22"/>
        </w:rPr>
        <w:t>Evaluate the appropriateness of accounting policies used and the reasonableness of accounting estimates and related disclosures made by management.</w:t>
      </w:r>
    </w:p>
    <w:p w14:paraId="26150C33" w14:textId="4D70C480" w:rsidR="00BC73E2" w:rsidRPr="00C1558B" w:rsidRDefault="00BC73E2" w:rsidP="00C1558B">
      <w:pPr>
        <w:numPr>
          <w:ilvl w:val="0"/>
          <w:numId w:val="1"/>
        </w:numPr>
        <w:overflowPunct/>
        <w:autoSpaceDE/>
        <w:autoSpaceDN/>
        <w:adjustRightInd/>
        <w:spacing w:before="120" w:after="120" w:line="380" w:lineRule="exact"/>
        <w:ind w:left="540" w:hanging="540"/>
        <w:textAlignment w:val="auto"/>
        <w:rPr>
          <w:rFonts w:ascii="Arial" w:hAnsi="Arial" w:cs="Arial"/>
          <w:color w:val="000000"/>
          <w:sz w:val="22"/>
          <w:szCs w:val="22"/>
        </w:rPr>
      </w:pPr>
      <w:r w:rsidRPr="00C1558B">
        <w:rPr>
          <w:rFonts w:ascii="Arial" w:hAnsi="Arial" w:cs="Arial"/>
          <w:color w:val="000000"/>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FD72C0" w:rsidRPr="00C1558B">
        <w:rPr>
          <w:rFonts w:ascii="Arial" w:hAnsi="Arial" w:cs="Arial"/>
          <w:color w:val="000000"/>
          <w:sz w:val="22"/>
          <w:szCs w:val="22"/>
        </w:rPr>
        <w:t>Group</w:t>
      </w:r>
      <w:r w:rsidRPr="00C1558B">
        <w:rPr>
          <w:rFonts w:ascii="Arial" w:hAnsi="Arial" w:cs="Arial"/>
          <w:color w:val="000000"/>
          <w:sz w:val="22"/>
          <w:szCs w:val="22"/>
        </w:rPr>
        <w:t xml:space="preserve">’s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w:t>
      </w:r>
      <w:r w:rsidR="00E82BB4" w:rsidRPr="00C1558B">
        <w:rPr>
          <w:rFonts w:ascii="Arial" w:hAnsi="Arial" w:cs="Arial"/>
          <w:color w:val="000000"/>
          <w:sz w:val="22"/>
          <w:szCs w:val="22"/>
        </w:rPr>
        <w:t>Group</w:t>
      </w:r>
      <w:r w:rsidRPr="00C1558B">
        <w:rPr>
          <w:rFonts w:ascii="Arial" w:hAnsi="Arial" w:cs="Arial"/>
          <w:color w:val="000000"/>
          <w:sz w:val="22"/>
          <w:szCs w:val="22"/>
        </w:rPr>
        <w:t xml:space="preserve"> to cease to continue as a going concern.</w:t>
      </w:r>
    </w:p>
    <w:p w14:paraId="1081B581" w14:textId="4091F56A" w:rsidR="00BC73E2" w:rsidRPr="00C1558B" w:rsidRDefault="00BC73E2" w:rsidP="00C1558B">
      <w:pPr>
        <w:numPr>
          <w:ilvl w:val="0"/>
          <w:numId w:val="1"/>
        </w:numPr>
        <w:overflowPunct/>
        <w:autoSpaceDE/>
        <w:autoSpaceDN/>
        <w:adjustRightInd/>
        <w:spacing w:before="120" w:after="120" w:line="380" w:lineRule="exact"/>
        <w:ind w:left="540" w:hanging="540"/>
        <w:textAlignment w:val="auto"/>
        <w:rPr>
          <w:rFonts w:ascii="Arial" w:hAnsi="Arial" w:cs="Arial"/>
          <w:color w:val="000000"/>
          <w:sz w:val="22"/>
          <w:szCs w:val="22"/>
        </w:rPr>
      </w:pPr>
      <w:r w:rsidRPr="00C1558B">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10A33C17" w14:textId="6AF56C2E" w:rsidR="00580E87" w:rsidRPr="00C1558B" w:rsidRDefault="006B25E2" w:rsidP="00C1558B">
      <w:pPr>
        <w:numPr>
          <w:ilvl w:val="0"/>
          <w:numId w:val="1"/>
        </w:numPr>
        <w:overflowPunct/>
        <w:autoSpaceDE/>
        <w:autoSpaceDN/>
        <w:adjustRightInd/>
        <w:spacing w:before="120" w:after="120" w:line="380" w:lineRule="exact"/>
        <w:ind w:left="540" w:hanging="540"/>
        <w:textAlignment w:val="auto"/>
        <w:rPr>
          <w:rFonts w:ascii="Arial" w:hAnsi="Arial" w:cs="Arial"/>
          <w:color w:val="000000"/>
          <w:sz w:val="22"/>
          <w:szCs w:val="22"/>
        </w:rPr>
      </w:pPr>
      <w:r w:rsidRPr="006B25E2">
        <w:rPr>
          <w:rFonts w:ascii="Arial" w:hAnsi="Arial" w:cs="Arial"/>
          <w:sz w:val="22"/>
          <w:szCs w:val="22"/>
        </w:rPr>
        <w:t xml:space="preserve">Plan and perform the group audit to obtain sufficient appropriate audit evidence regarding the financial information of the entities or business units within the group as a basis for forming an opinion on the </w:t>
      </w:r>
      <w:r w:rsidRPr="006B25E2">
        <w:rPr>
          <w:rFonts w:ascii="Arial" w:hAnsi="Arial" w:cs="Arial"/>
          <w:color w:val="000000"/>
          <w:sz w:val="22"/>
          <w:szCs w:val="22"/>
        </w:rPr>
        <w:t>consolidated</w:t>
      </w:r>
      <w:r w:rsidRPr="006B25E2">
        <w:rPr>
          <w:rFonts w:ascii="Arial" w:hAnsi="Arial" w:cs="Arial"/>
          <w:sz w:val="22"/>
          <w:szCs w:val="22"/>
        </w:rPr>
        <w:t xml:space="preserve"> financial statements. I am responsible for the direction, supervision and review of the audit work performed for the purposes of the group audit. I remain solely responsible for my audit opinion.</w:t>
      </w:r>
    </w:p>
    <w:p w14:paraId="5B1CD973" w14:textId="77777777" w:rsidR="00BC73E2" w:rsidRPr="00C1558B" w:rsidRDefault="00BC73E2" w:rsidP="00C1558B">
      <w:pPr>
        <w:overflowPunct/>
        <w:autoSpaceDE/>
        <w:autoSpaceDN/>
        <w:adjustRightInd/>
        <w:spacing w:before="120" w:after="120" w:line="380" w:lineRule="exact"/>
        <w:textAlignment w:val="auto"/>
        <w:rPr>
          <w:rFonts w:ascii="Arial" w:hAnsi="Arial" w:cstheme="minorBidi"/>
          <w:color w:val="000000"/>
          <w:sz w:val="22"/>
          <w:szCs w:val="22"/>
        </w:rPr>
      </w:pPr>
      <w:r w:rsidRPr="00C1558B">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BEF96B3" w14:textId="77777777" w:rsidR="006B3721" w:rsidRPr="00C1558B" w:rsidRDefault="006B3721" w:rsidP="00C1558B">
      <w:pPr>
        <w:overflowPunct/>
        <w:autoSpaceDE/>
        <w:autoSpaceDN/>
        <w:adjustRightInd/>
        <w:spacing w:before="120" w:after="120" w:line="380" w:lineRule="exact"/>
        <w:textAlignment w:val="auto"/>
        <w:rPr>
          <w:rFonts w:ascii="Arial" w:hAnsi="Arial" w:cs="Arial"/>
          <w:color w:val="000000"/>
          <w:sz w:val="22"/>
          <w:szCs w:val="22"/>
        </w:rPr>
      </w:pPr>
      <w:r w:rsidRPr="00C1558B">
        <w:rPr>
          <w:rFonts w:ascii="Arial" w:hAnsi="Arial" w:cs="Arial" w:hint="cs"/>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FA27CF9" w14:textId="77777777" w:rsidR="00C1558B" w:rsidRDefault="00C1558B">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2363E65D" w14:textId="11AFC843" w:rsidR="006B3721" w:rsidRPr="00C1558B" w:rsidRDefault="006B3721" w:rsidP="00C1558B">
      <w:pPr>
        <w:overflowPunct/>
        <w:autoSpaceDE/>
        <w:autoSpaceDN/>
        <w:adjustRightInd/>
        <w:spacing w:before="120" w:after="120" w:line="380" w:lineRule="exact"/>
        <w:textAlignment w:val="auto"/>
        <w:rPr>
          <w:rFonts w:ascii="Arial" w:hAnsi="Arial" w:cs="Arial"/>
          <w:color w:val="000000"/>
          <w:sz w:val="22"/>
          <w:szCs w:val="22"/>
        </w:rPr>
      </w:pPr>
      <w:r w:rsidRPr="00C1558B">
        <w:rPr>
          <w:rFonts w:ascii="Arial" w:hAnsi="Arial" w:cs="Arial" w:hint="cs"/>
          <w:color w:val="000000"/>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4E63DA" w14:textId="7F253E8D" w:rsidR="003C5753" w:rsidRPr="00C1558B" w:rsidRDefault="00BC73E2" w:rsidP="00C1558B">
      <w:pPr>
        <w:spacing w:before="120" w:after="120" w:line="380" w:lineRule="exact"/>
        <w:rPr>
          <w:rFonts w:ascii="Arial" w:hAnsi="Arial"/>
          <w:sz w:val="22"/>
          <w:szCs w:val="22"/>
        </w:rPr>
      </w:pPr>
      <w:r w:rsidRPr="00C1558B">
        <w:rPr>
          <w:rFonts w:ascii="Arial" w:hAnsi="Arial" w:cs="Arial"/>
          <w:color w:val="000000"/>
          <w:sz w:val="22"/>
          <w:szCs w:val="22"/>
        </w:rPr>
        <w:t>I am responsible for the audit resulting in this independent auditor’s report.</w:t>
      </w:r>
    </w:p>
    <w:p w14:paraId="56596BD9" w14:textId="77777777" w:rsidR="003C5753" w:rsidRPr="00C1558B" w:rsidRDefault="003C5753" w:rsidP="00EA2BB8">
      <w:pPr>
        <w:tabs>
          <w:tab w:val="left" w:pos="720"/>
          <w:tab w:val="center" w:pos="6480"/>
        </w:tabs>
        <w:spacing w:before="120" w:line="380" w:lineRule="exact"/>
        <w:rPr>
          <w:rFonts w:ascii="Arial" w:hAnsi="Arial"/>
          <w:sz w:val="22"/>
          <w:szCs w:val="22"/>
        </w:rPr>
      </w:pPr>
    </w:p>
    <w:p w14:paraId="465FBCAE" w14:textId="77777777" w:rsidR="00C9324D" w:rsidRPr="00C1558B" w:rsidRDefault="00C9324D" w:rsidP="00EA2BB8">
      <w:pPr>
        <w:tabs>
          <w:tab w:val="left" w:pos="720"/>
          <w:tab w:val="center" w:pos="6480"/>
        </w:tabs>
        <w:spacing w:before="120" w:line="380" w:lineRule="exact"/>
        <w:rPr>
          <w:rFonts w:ascii="Arial" w:hAnsi="Arial"/>
          <w:sz w:val="22"/>
          <w:szCs w:val="22"/>
        </w:rPr>
      </w:pPr>
    </w:p>
    <w:p w14:paraId="20B2FCCB" w14:textId="77777777" w:rsidR="00CB0D58" w:rsidRPr="00C1558B" w:rsidRDefault="00CB0D58" w:rsidP="00F54BA5">
      <w:pPr>
        <w:overflowPunct/>
        <w:autoSpaceDE/>
        <w:autoSpaceDN/>
        <w:adjustRightInd/>
        <w:spacing w:line="380" w:lineRule="exact"/>
        <w:textAlignment w:val="auto"/>
        <w:rPr>
          <w:rFonts w:ascii="Arial" w:hAnsi="Arial" w:cs="Arial"/>
          <w:color w:val="000000"/>
          <w:sz w:val="22"/>
          <w:szCs w:val="22"/>
        </w:rPr>
      </w:pPr>
    </w:p>
    <w:p w14:paraId="7F494D09" w14:textId="2A588354" w:rsidR="00F54BA5" w:rsidRPr="00C1558B" w:rsidRDefault="00F54BA5" w:rsidP="00F54BA5">
      <w:pPr>
        <w:overflowPunct/>
        <w:autoSpaceDE/>
        <w:autoSpaceDN/>
        <w:adjustRightInd/>
        <w:spacing w:line="380" w:lineRule="exact"/>
        <w:textAlignment w:val="auto"/>
        <w:rPr>
          <w:rFonts w:ascii="Arial" w:hAnsi="Arial" w:cs="Arial"/>
          <w:color w:val="000000"/>
          <w:sz w:val="22"/>
          <w:szCs w:val="22"/>
        </w:rPr>
      </w:pPr>
      <w:r w:rsidRPr="00C1558B">
        <w:rPr>
          <w:rFonts w:ascii="Arial" w:hAnsi="Arial" w:cs="Arial"/>
          <w:color w:val="000000"/>
          <w:sz w:val="22"/>
          <w:szCs w:val="22"/>
        </w:rPr>
        <w:t>Narissara Chaisuwan</w:t>
      </w:r>
    </w:p>
    <w:p w14:paraId="3A1D5911" w14:textId="77777777" w:rsidR="00F54BA5" w:rsidRPr="00C1558B" w:rsidRDefault="00F54BA5" w:rsidP="00F54BA5">
      <w:pPr>
        <w:tabs>
          <w:tab w:val="left" w:pos="720"/>
          <w:tab w:val="center" w:pos="6300"/>
        </w:tabs>
        <w:spacing w:line="380" w:lineRule="exact"/>
        <w:rPr>
          <w:rFonts w:ascii="Arial" w:hAnsi="Arial" w:cs="Arial"/>
          <w:color w:val="000000"/>
          <w:sz w:val="22"/>
          <w:szCs w:val="22"/>
        </w:rPr>
      </w:pPr>
      <w:r w:rsidRPr="00C1558B">
        <w:rPr>
          <w:rFonts w:ascii="Arial" w:hAnsi="Arial" w:cs="Arial"/>
          <w:color w:val="000000"/>
          <w:sz w:val="22"/>
          <w:szCs w:val="22"/>
        </w:rPr>
        <w:t>Certified Public Accountant (Thailand) No. 4812</w:t>
      </w:r>
    </w:p>
    <w:p w14:paraId="12EEB254" w14:textId="77777777" w:rsidR="00F54BA5" w:rsidRPr="00C1558B" w:rsidRDefault="00F54BA5" w:rsidP="00F54BA5">
      <w:pPr>
        <w:spacing w:line="380" w:lineRule="exact"/>
        <w:rPr>
          <w:rFonts w:ascii="Arial" w:hAnsi="Arial" w:cs="Arial"/>
          <w:color w:val="000000"/>
          <w:sz w:val="22"/>
          <w:szCs w:val="22"/>
        </w:rPr>
      </w:pPr>
    </w:p>
    <w:p w14:paraId="6A3BE920" w14:textId="77777777" w:rsidR="00F54BA5" w:rsidRPr="00C1558B" w:rsidRDefault="00F54BA5" w:rsidP="00F54BA5">
      <w:pPr>
        <w:spacing w:line="380" w:lineRule="exact"/>
        <w:rPr>
          <w:rFonts w:ascii="Arial" w:hAnsi="Arial" w:cs="Arial"/>
          <w:color w:val="000000"/>
          <w:sz w:val="22"/>
          <w:szCs w:val="22"/>
        </w:rPr>
      </w:pPr>
      <w:r w:rsidRPr="00C1558B">
        <w:rPr>
          <w:rFonts w:ascii="Arial" w:hAnsi="Arial" w:cs="Arial"/>
          <w:color w:val="000000"/>
          <w:sz w:val="22"/>
          <w:szCs w:val="22"/>
        </w:rPr>
        <w:t>EY Office Limited</w:t>
      </w:r>
    </w:p>
    <w:p w14:paraId="176B5BB3" w14:textId="5E1F14E0" w:rsidR="00F54BA5" w:rsidRPr="00C1558B" w:rsidRDefault="00F54BA5" w:rsidP="00F54BA5">
      <w:pPr>
        <w:spacing w:line="380" w:lineRule="exact"/>
        <w:rPr>
          <w:rFonts w:ascii="Arial" w:hAnsi="Arial" w:cs="Arial"/>
          <w:color w:val="000000"/>
          <w:sz w:val="22"/>
          <w:szCs w:val="22"/>
        </w:rPr>
      </w:pPr>
      <w:r w:rsidRPr="00C1558B">
        <w:rPr>
          <w:rFonts w:ascii="Arial" w:hAnsi="Arial" w:cs="Arial"/>
          <w:color w:val="000000"/>
          <w:sz w:val="22"/>
          <w:szCs w:val="22"/>
        </w:rPr>
        <w:t xml:space="preserve">Bangkok: </w:t>
      </w:r>
      <w:r w:rsidR="006B3EA7" w:rsidRPr="00C1558B">
        <w:rPr>
          <w:rFonts w:ascii="Arial" w:hAnsi="Arial" w:cstheme="minorBidi"/>
          <w:color w:val="000000"/>
          <w:sz w:val="22"/>
          <w:szCs w:val="22"/>
        </w:rPr>
        <w:t>23</w:t>
      </w:r>
      <w:r w:rsidR="00AD5443" w:rsidRPr="00C1558B">
        <w:rPr>
          <w:rFonts w:ascii="Arial" w:hAnsi="Arial" w:cstheme="minorBidi"/>
          <w:color w:val="000000"/>
          <w:sz w:val="22"/>
          <w:szCs w:val="22"/>
        </w:rPr>
        <w:t xml:space="preserve"> </w:t>
      </w:r>
      <w:r w:rsidRPr="00C1558B">
        <w:rPr>
          <w:rFonts w:ascii="Arial" w:hAnsi="Arial" w:cs="Arial"/>
          <w:color w:val="000000"/>
          <w:sz w:val="22"/>
          <w:szCs w:val="22"/>
        </w:rPr>
        <w:t>February 202</w:t>
      </w:r>
      <w:r w:rsidR="002C6ECB" w:rsidRPr="00C1558B">
        <w:rPr>
          <w:rFonts w:ascii="Arial" w:hAnsi="Arial" w:cs="Arial"/>
          <w:color w:val="000000"/>
          <w:sz w:val="22"/>
          <w:szCs w:val="22"/>
        </w:rPr>
        <w:t>6</w:t>
      </w:r>
    </w:p>
    <w:p w14:paraId="66347957" w14:textId="7566AEB5" w:rsidR="002262AE" w:rsidRPr="00C1558B" w:rsidRDefault="002262AE" w:rsidP="00F54BA5">
      <w:pPr>
        <w:tabs>
          <w:tab w:val="left" w:pos="720"/>
          <w:tab w:val="center" w:pos="6480"/>
        </w:tabs>
        <w:spacing w:line="380" w:lineRule="exact"/>
        <w:rPr>
          <w:rFonts w:ascii="Arial" w:hAnsi="Arial"/>
          <w:sz w:val="22"/>
          <w:szCs w:val="22"/>
        </w:rPr>
      </w:pPr>
    </w:p>
    <w:sectPr w:rsidR="002262AE" w:rsidRPr="00C1558B" w:rsidSect="009D58F8">
      <w:footerReference w:type="default" r:id="rId8"/>
      <w:footerReference w:type="first" r:id="rId9"/>
      <w:pgSz w:w="11907" w:h="16840"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E13A1" w14:textId="77777777" w:rsidR="002868B8" w:rsidRDefault="002868B8">
      <w:r>
        <w:separator/>
      </w:r>
    </w:p>
  </w:endnote>
  <w:endnote w:type="continuationSeparator" w:id="0">
    <w:p w14:paraId="20F33F00" w14:textId="77777777" w:rsidR="002868B8" w:rsidRDefault="00286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9D23" w14:textId="74CC8D0F" w:rsidR="00C024A9" w:rsidRPr="00912A9A" w:rsidRDefault="00C024A9" w:rsidP="00912A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541899374"/>
      <w:docPartObj>
        <w:docPartGallery w:val="Page Numbers (Bottom of Page)"/>
        <w:docPartUnique/>
      </w:docPartObj>
    </w:sdtPr>
    <w:sdtEndPr>
      <w:rPr>
        <w:noProof/>
      </w:rPr>
    </w:sdtEndPr>
    <w:sdtContent>
      <w:p w14:paraId="27C0710F" w14:textId="701ADFE5" w:rsidR="00927094" w:rsidRPr="00927094" w:rsidRDefault="00927094">
        <w:pPr>
          <w:pStyle w:val="Footer"/>
          <w:jc w:val="right"/>
          <w:rPr>
            <w:rFonts w:ascii="Arial" w:hAnsi="Arial" w:cs="Arial"/>
            <w:sz w:val="22"/>
            <w:szCs w:val="22"/>
          </w:rPr>
        </w:pPr>
        <w:r w:rsidRPr="00927094">
          <w:rPr>
            <w:rFonts w:ascii="Arial" w:hAnsi="Arial" w:cs="Arial"/>
            <w:sz w:val="22"/>
            <w:szCs w:val="22"/>
          </w:rPr>
          <w:fldChar w:fldCharType="begin"/>
        </w:r>
        <w:r w:rsidRPr="00927094">
          <w:rPr>
            <w:rFonts w:ascii="Arial" w:hAnsi="Arial" w:cs="Arial"/>
            <w:sz w:val="22"/>
            <w:szCs w:val="22"/>
          </w:rPr>
          <w:instrText xml:space="preserve"> PAGE   \* MERGEFORMAT </w:instrText>
        </w:r>
        <w:r w:rsidRPr="00927094">
          <w:rPr>
            <w:rFonts w:ascii="Arial" w:hAnsi="Arial" w:cs="Arial"/>
            <w:sz w:val="22"/>
            <w:szCs w:val="22"/>
          </w:rPr>
          <w:fldChar w:fldCharType="separate"/>
        </w:r>
        <w:r w:rsidRPr="00927094">
          <w:rPr>
            <w:rFonts w:ascii="Arial" w:hAnsi="Arial" w:cs="Arial"/>
            <w:noProof/>
            <w:sz w:val="22"/>
            <w:szCs w:val="22"/>
          </w:rPr>
          <w:t>2</w:t>
        </w:r>
        <w:r w:rsidRPr="0092709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313380596"/>
      <w:docPartObj>
        <w:docPartGallery w:val="Page Numbers (Bottom of Page)"/>
        <w:docPartUnique/>
      </w:docPartObj>
    </w:sdtPr>
    <w:sdtEndPr>
      <w:rPr>
        <w:noProof/>
      </w:rPr>
    </w:sdtEndPr>
    <w:sdtContent>
      <w:p w14:paraId="7E0EBFB8" w14:textId="7C27438A" w:rsidR="00927094" w:rsidRPr="00927094" w:rsidRDefault="00927094">
        <w:pPr>
          <w:pStyle w:val="Footer"/>
          <w:jc w:val="right"/>
          <w:rPr>
            <w:rFonts w:ascii="Arial" w:hAnsi="Arial" w:cs="Arial"/>
            <w:sz w:val="22"/>
            <w:szCs w:val="22"/>
          </w:rPr>
        </w:pPr>
        <w:r w:rsidRPr="00927094">
          <w:rPr>
            <w:rFonts w:ascii="Arial" w:hAnsi="Arial" w:cs="Arial"/>
            <w:sz w:val="22"/>
            <w:szCs w:val="22"/>
          </w:rPr>
          <w:fldChar w:fldCharType="begin"/>
        </w:r>
        <w:r w:rsidRPr="00927094">
          <w:rPr>
            <w:rFonts w:ascii="Arial" w:hAnsi="Arial" w:cs="Arial"/>
            <w:sz w:val="22"/>
            <w:szCs w:val="22"/>
          </w:rPr>
          <w:instrText xml:space="preserve"> PAGE   \* MERGEFORMAT </w:instrText>
        </w:r>
        <w:r w:rsidRPr="00927094">
          <w:rPr>
            <w:rFonts w:ascii="Arial" w:hAnsi="Arial" w:cs="Arial"/>
            <w:sz w:val="22"/>
            <w:szCs w:val="22"/>
          </w:rPr>
          <w:fldChar w:fldCharType="separate"/>
        </w:r>
        <w:r w:rsidRPr="00927094">
          <w:rPr>
            <w:rFonts w:ascii="Arial" w:hAnsi="Arial" w:cs="Arial"/>
            <w:noProof/>
            <w:sz w:val="22"/>
            <w:szCs w:val="22"/>
          </w:rPr>
          <w:t>2</w:t>
        </w:r>
        <w:r w:rsidRPr="0092709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34D02" w14:textId="77777777" w:rsidR="002868B8" w:rsidRDefault="002868B8">
      <w:r>
        <w:separator/>
      </w:r>
    </w:p>
  </w:footnote>
  <w:footnote w:type="continuationSeparator" w:id="0">
    <w:p w14:paraId="33B7425C" w14:textId="77777777" w:rsidR="002868B8" w:rsidRDefault="00286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670A6"/>
    <w:multiLevelType w:val="hybridMultilevel"/>
    <w:tmpl w:val="B4EC77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D2688D"/>
    <w:multiLevelType w:val="hybridMultilevel"/>
    <w:tmpl w:val="69600EE6"/>
    <w:lvl w:ilvl="0" w:tplc="E52C5D7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BE4DCB"/>
    <w:multiLevelType w:val="multilevel"/>
    <w:tmpl w:val="50869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55077D"/>
    <w:multiLevelType w:val="hybridMultilevel"/>
    <w:tmpl w:val="AA562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0C0A40"/>
    <w:multiLevelType w:val="hybridMultilevel"/>
    <w:tmpl w:val="F7481FE6"/>
    <w:lvl w:ilvl="0" w:tplc="E2DE0D5A">
      <w:start w:val="1"/>
      <w:numFmt w:val="bullet"/>
      <w:lvlText w:val="•"/>
      <w:lvlJc w:val="left"/>
      <w:pPr>
        <w:ind w:left="770" w:hanging="360"/>
      </w:pPr>
      <w:rPr>
        <w:rFonts w:ascii="Arial" w:hAnsi="Aria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5" w15:restartNumberingAfterBreak="0">
    <w:nsid w:val="48ED717A"/>
    <w:multiLevelType w:val="hybridMultilevel"/>
    <w:tmpl w:val="B0E4883E"/>
    <w:lvl w:ilvl="0" w:tplc="EBF80DAA">
      <w:numFmt w:val="bullet"/>
      <w:lvlText w:val="-"/>
      <w:lvlJc w:val="left"/>
      <w:pPr>
        <w:ind w:left="900" w:hanging="360"/>
      </w:pPr>
      <w:rPr>
        <w:rFonts w:ascii="Arial" w:eastAsiaTheme="minorHAns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90869BD"/>
    <w:multiLevelType w:val="hybridMultilevel"/>
    <w:tmpl w:val="9EA0D9DA"/>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84B3E"/>
    <w:multiLevelType w:val="hybridMultilevel"/>
    <w:tmpl w:val="A0F09744"/>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A27BC3"/>
    <w:multiLevelType w:val="hybridMultilevel"/>
    <w:tmpl w:val="6950AD74"/>
    <w:lvl w:ilvl="0" w:tplc="E2DE0D5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73146580">
    <w:abstractNumId w:val="8"/>
  </w:num>
  <w:num w:numId="2" w16cid:durableId="2071075076">
    <w:abstractNumId w:val="5"/>
  </w:num>
  <w:num w:numId="3" w16cid:durableId="1557856308">
    <w:abstractNumId w:val="1"/>
  </w:num>
  <w:num w:numId="4" w16cid:durableId="2080974852">
    <w:abstractNumId w:val="3"/>
  </w:num>
  <w:num w:numId="5" w16cid:durableId="1873300538">
    <w:abstractNumId w:val="0"/>
  </w:num>
  <w:num w:numId="6" w16cid:durableId="1611082987">
    <w:abstractNumId w:val="2"/>
  </w:num>
  <w:num w:numId="7" w16cid:durableId="979580929">
    <w:abstractNumId w:val="6"/>
  </w:num>
  <w:num w:numId="8" w16cid:durableId="722867716">
    <w:abstractNumId w:val="7"/>
  </w:num>
  <w:num w:numId="9" w16cid:durableId="1267735814">
    <w:abstractNumId w:val="4"/>
  </w:num>
  <w:num w:numId="10" w16cid:durableId="8574233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1F02"/>
    <w:rsid w:val="00002E22"/>
    <w:rsid w:val="000048DB"/>
    <w:rsid w:val="00006636"/>
    <w:rsid w:val="000142AA"/>
    <w:rsid w:val="00015943"/>
    <w:rsid w:val="00016FE8"/>
    <w:rsid w:val="00017730"/>
    <w:rsid w:val="000237AB"/>
    <w:rsid w:val="00027E9A"/>
    <w:rsid w:val="000307C6"/>
    <w:rsid w:val="00034B78"/>
    <w:rsid w:val="00034D72"/>
    <w:rsid w:val="00036F73"/>
    <w:rsid w:val="00040E71"/>
    <w:rsid w:val="00041F27"/>
    <w:rsid w:val="00042630"/>
    <w:rsid w:val="00042F11"/>
    <w:rsid w:val="0004326E"/>
    <w:rsid w:val="0004364B"/>
    <w:rsid w:val="00047C78"/>
    <w:rsid w:val="000572C0"/>
    <w:rsid w:val="00060ABD"/>
    <w:rsid w:val="0006283B"/>
    <w:rsid w:val="00070CAB"/>
    <w:rsid w:val="000768BB"/>
    <w:rsid w:val="000821DB"/>
    <w:rsid w:val="00083FE4"/>
    <w:rsid w:val="000862CF"/>
    <w:rsid w:val="00091058"/>
    <w:rsid w:val="00092263"/>
    <w:rsid w:val="00093D74"/>
    <w:rsid w:val="00095463"/>
    <w:rsid w:val="00095D6B"/>
    <w:rsid w:val="000B1540"/>
    <w:rsid w:val="000B236A"/>
    <w:rsid w:val="000B23AF"/>
    <w:rsid w:val="000B2D8C"/>
    <w:rsid w:val="000B3451"/>
    <w:rsid w:val="000B4C7A"/>
    <w:rsid w:val="000B5C1B"/>
    <w:rsid w:val="000B5F6C"/>
    <w:rsid w:val="000B6119"/>
    <w:rsid w:val="000C755A"/>
    <w:rsid w:val="000D0324"/>
    <w:rsid w:val="000D2552"/>
    <w:rsid w:val="000D345B"/>
    <w:rsid w:val="000D3CEF"/>
    <w:rsid w:val="000D5349"/>
    <w:rsid w:val="000E04E0"/>
    <w:rsid w:val="000E4BE7"/>
    <w:rsid w:val="000E5183"/>
    <w:rsid w:val="000E7101"/>
    <w:rsid w:val="000F056F"/>
    <w:rsid w:val="001052C7"/>
    <w:rsid w:val="00106169"/>
    <w:rsid w:val="00107F2A"/>
    <w:rsid w:val="00111C3C"/>
    <w:rsid w:val="001177C9"/>
    <w:rsid w:val="0012232E"/>
    <w:rsid w:val="0012449C"/>
    <w:rsid w:val="00125065"/>
    <w:rsid w:val="0012648A"/>
    <w:rsid w:val="00131326"/>
    <w:rsid w:val="0013239E"/>
    <w:rsid w:val="0013777A"/>
    <w:rsid w:val="00137A19"/>
    <w:rsid w:val="00137FF2"/>
    <w:rsid w:val="00140BCB"/>
    <w:rsid w:val="00143504"/>
    <w:rsid w:val="00145424"/>
    <w:rsid w:val="00146AEC"/>
    <w:rsid w:val="00146DE8"/>
    <w:rsid w:val="00152887"/>
    <w:rsid w:val="001539E3"/>
    <w:rsid w:val="00154B89"/>
    <w:rsid w:val="0016505E"/>
    <w:rsid w:val="00165D7F"/>
    <w:rsid w:val="00166694"/>
    <w:rsid w:val="001675B8"/>
    <w:rsid w:val="00167D6F"/>
    <w:rsid w:val="00174971"/>
    <w:rsid w:val="001776E0"/>
    <w:rsid w:val="001832E3"/>
    <w:rsid w:val="00183958"/>
    <w:rsid w:val="0018406D"/>
    <w:rsid w:val="00184C8A"/>
    <w:rsid w:val="00184D9E"/>
    <w:rsid w:val="001870A5"/>
    <w:rsid w:val="001907B7"/>
    <w:rsid w:val="00194F35"/>
    <w:rsid w:val="001950FA"/>
    <w:rsid w:val="00197988"/>
    <w:rsid w:val="00197AB1"/>
    <w:rsid w:val="001A0EA1"/>
    <w:rsid w:val="001A47C4"/>
    <w:rsid w:val="001A57CF"/>
    <w:rsid w:val="001A5E12"/>
    <w:rsid w:val="001A7535"/>
    <w:rsid w:val="001A7C60"/>
    <w:rsid w:val="001A7EF7"/>
    <w:rsid w:val="001B0756"/>
    <w:rsid w:val="001B1EA5"/>
    <w:rsid w:val="001C4AA6"/>
    <w:rsid w:val="001D1FA0"/>
    <w:rsid w:val="001D29B8"/>
    <w:rsid w:val="001D2A56"/>
    <w:rsid w:val="001D7279"/>
    <w:rsid w:val="001D7DAF"/>
    <w:rsid w:val="001E09A5"/>
    <w:rsid w:val="001E417F"/>
    <w:rsid w:val="001E7980"/>
    <w:rsid w:val="001F232D"/>
    <w:rsid w:val="001F25AC"/>
    <w:rsid w:val="001F2804"/>
    <w:rsid w:val="001F2D16"/>
    <w:rsid w:val="001F451F"/>
    <w:rsid w:val="001F57A0"/>
    <w:rsid w:val="001F6C07"/>
    <w:rsid w:val="001F7341"/>
    <w:rsid w:val="001F76AC"/>
    <w:rsid w:val="00210494"/>
    <w:rsid w:val="00210EDF"/>
    <w:rsid w:val="00213BB6"/>
    <w:rsid w:val="00214FD3"/>
    <w:rsid w:val="002160F9"/>
    <w:rsid w:val="002175F8"/>
    <w:rsid w:val="002201A6"/>
    <w:rsid w:val="0022347B"/>
    <w:rsid w:val="002235A8"/>
    <w:rsid w:val="00224D12"/>
    <w:rsid w:val="002254D7"/>
    <w:rsid w:val="00225E84"/>
    <w:rsid w:val="002262AE"/>
    <w:rsid w:val="00227117"/>
    <w:rsid w:val="00227344"/>
    <w:rsid w:val="00235B48"/>
    <w:rsid w:val="00237180"/>
    <w:rsid w:val="00242DE2"/>
    <w:rsid w:val="00243DB5"/>
    <w:rsid w:val="0024480C"/>
    <w:rsid w:val="00255F52"/>
    <w:rsid w:val="00256A2B"/>
    <w:rsid w:val="002604A9"/>
    <w:rsid w:val="002609CD"/>
    <w:rsid w:val="00262FDD"/>
    <w:rsid w:val="002663AA"/>
    <w:rsid w:val="0027049B"/>
    <w:rsid w:val="00271794"/>
    <w:rsid w:val="002725A5"/>
    <w:rsid w:val="00275EA9"/>
    <w:rsid w:val="00276DAA"/>
    <w:rsid w:val="0027733D"/>
    <w:rsid w:val="00280D54"/>
    <w:rsid w:val="002813E0"/>
    <w:rsid w:val="00281A99"/>
    <w:rsid w:val="0028677C"/>
    <w:rsid w:val="00286887"/>
    <w:rsid w:val="002868B8"/>
    <w:rsid w:val="0029111E"/>
    <w:rsid w:val="002918B5"/>
    <w:rsid w:val="00295EE5"/>
    <w:rsid w:val="002A17DF"/>
    <w:rsid w:val="002A1D0F"/>
    <w:rsid w:val="002A2028"/>
    <w:rsid w:val="002A430A"/>
    <w:rsid w:val="002A4A1D"/>
    <w:rsid w:val="002A5594"/>
    <w:rsid w:val="002A6537"/>
    <w:rsid w:val="002A690D"/>
    <w:rsid w:val="002B4BF6"/>
    <w:rsid w:val="002B4D42"/>
    <w:rsid w:val="002C119A"/>
    <w:rsid w:val="002C2A9C"/>
    <w:rsid w:val="002C52C7"/>
    <w:rsid w:val="002C6ECB"/>
    <w:rsid w:val="002C758D"/>
    <w:rsid w:val="002D00E2"/>
    <w:rsid w:val="002D72EE"/>
    <w:rsid w:val="002D7BA9"/>
    <w:rsid w:val="002D7D5D"/>
    <w:rsid w:val="002E1C16"/>
    <w:rsid w:val="002E1C6F"/>
    <w:rsid w:val="002E3EAB"/>
    <w:rsid w:val="002E4C3D"/>
    <w:rsid w:val="002F3797"/>
    <w:rsid w:val="00301003"/>
    <w:rsid w:val="00304DF2"/>
    <w:rsid w:val="00305F3C"/>
    <w:rsid w:val="00306EF9"/>
    <w:rsid w:val="0031434F"/>
    <w:rsid w:val="003152FF"/>
    <w:rsid w:val="003166EB"/>
    <w:rsid w:val="00323C74"/>
    <w:rsid w:val="003268EE"/>
    <w:rsid w:val="003271A9"/>
    <w:rsid w:val="00327A8F"/>
    <w:rsid w:val="00330665"/>
    <w:rsid w:val="003351E8"/>
    <w:rsid w:val="00335434"/>
    <w:rsid w:val="00336368"/>
    <w:rsid w:val="00346623"/>
    <w:rsid w:val="00352776"/>
    <w:rsid w:val="00352D70"/>
    <w:rsid w:val="003533AF"/>
    <w:rsid w:val="00355A53"/>
    <w:rsid w:val="00355FD0"/>
    <w:rsid w:val="00365F0C"/>
    <w:rsid w:val="00374483"/>
    <w:rsid w:val="003753C2"/>
    <w:rsid w:val="0038321F"/>
    <w:rsid w:val="00385726"/>
    <w:rsid w:val="00386769"/>
    <w:rsid w:val="00393CAE"/>
    <w:rsid w:val="00394A29"/>
    <w:rsid w:val="00395452"/>
    <w:rsid w:val="003A0635"/>
    <w:rsid w:val="003A1265"/>
    <w:rsid w:val="003A143C"/>
    <w:rsid w:val="003A1D4C"/>
    <w:rsid w:val="003A44D0"/>
    <w:rsid w:val="003A70EE"/>
    <w:rsid w:val="003A7CC5"/>
    <w:rsid w:val="003B29EC"/>
    <w:rsid w:val="003B4200"/>
    <w:rsid w:val="003B484F"/>
    <w:rsid w:val="003C4FAA"/>
    <w:rsid w:val="003C5753"/>
    <w:rsid w:val="003C6AA0"/>
    <w:rsid w:val="003C6D29"/>
    <w:rsid w:val="003E09CB"/>
    <w:rsid w:val="003E200C"/>
    <w:rsid w:val="003E25FF"/>
    <w:rsid w:val="003E4983"/>
    <w:rsid w:val="003E6913"/>
    <w:rsid w:val="003E7C57"/>
    <w:rsid w:val="003F2E4F"/>
    <w:rsid w:val="003F4959"/>
    <w:rsid w:val="003F4B61"/>
    <w:rsid w:val="003F59FF"/>
    <w:rsid w:val="003F5DF6"/>
    <w:rsid w:val="00401D0C"/>
    <w:rsid w:val="004022B3"/>
    <w:rsid w:val="00404EC3"/>
    <w:rsid w:val="00407EA5"/>
    <w:rsid w:val="00412D35"/>
    <w:rsid w:val="004155BF"/>
    <w:rsid w:val="00420C70"/>
    <w:rsid w:val="00420D71"/>
    <w:rsid w:val="00422C43"/>
    <w:rsid w:val="004236DD"/>
    <w:rsid w:val="0042529A"/>
    <w:rsid w:val="00426BB7"/>
    <w:rsid w:val="00427624"/>
    <w:rsid w:val="004311B9"/>
    <w:rsid w:val="00440E09"/>
    <w:rsid w:val="0044336D"/>
    <w:rsid w:val="00445DDC"/>
    <w:rsid w:val="004504F0"/>
    <w:rsid w:val="0045224D"/>
    <w:rsid w:val="004600D4"/>
    <w:rsid w:val="00460E7E"/>
    <w:rsid w:val="00461973"/>
    <w:rsid w:val="00463384"/>
    <w:rsid w:val="0046340B"/>
    <w:rsid w:val="0046383F"/>
    <w:rsid w:val="00466356"/>
    <w:rsid w:val="00466733"/>
    <w:rsid w:val="004708B5"/>
    <w:rsid w:val="00473DE9"/>
    <w:rsid w:val="00474519"/>
    <w:rsid w:val="00474890"/>
    <w:rsid w:val="00474AAF"/>
    <w:rsid w:val="004759F2"/>
    <w:rsid w:val="00480DB3"/>
    <w:rsid w:val="00482CA9"/>
    <w:rsid w:val="00494025"/>
    <w:rsid w:val="00495F2F"/>
    <w:rsid w:val="0049636F"/>
    <w:rsid w:val="00497FF6"/>
    <w:rsid w:val="004A0A99"/>
    <w:rsid w:val="004A1CCC"/>
    <w:rsid w:val="004A2021"/>
    <w:rsid w:val="004A2499"/>
    <w:rsid w:val="004A42AC"/>
    <w:rsid w:val="004A6D2C"/>
    <w:rsid w:val="004B0078"/>
    <w:rsid w:val="004B0594"/>
    <w:rsid w:val="004B1B93"/>
    <w:rsid w:val="004B20BD"/>
    <w:rsid w:val="004B35D7"/>
    <w:rsid w:val="004B512D"/>
    <w:rsid w:val="004C3028"/>
    <w:rsid w:val="004D1FA3"/>
    <w:rsid w:val="004D3F5B"/>
    <w:rsid w:val="004D6B48"/>
    <w:rsid w:val="004D7DAE"/>
    <w:rsid w:val="004E0109"/>
    <w:rsid w:val="004E2DB5"/>
    <w:rsid w:val="004E2FF9"/>
    <w:rsid w:val="004E6C76"/>
    <w:rsid w:val="004F1B3C"/>
    <w:rsid w:val="004F71E5"/>
    <w:rsid w:val="004F7E19"/>
    <w:rsid w:val="005010C5"/>
    <w:rsid w:val="00502E2A"/>
    <w:rsid w:val="00502E32"/>
    <w:rsid w:val="00504AA7"/>
    <w:rsid w:val="005118A1"/>
    <w:rsid w:val="00517203"/>
    <w:rsid w:val="005172DD"/>
    <w:rsid w:val="005219E2"/>
    <w:rsid w:val="005237D4"/>
    <w:rsid w:val="00526F97"/>
    <w:rsid w:val="00527E31"/>
    <w:rsid w:val="005348DC"/>
    <w:rsid w:val="00540B04"/>
    <w:rsid w:val="00542F0B"/>
    <w:rsid w:val="005443CF"/>
    <w:rsid w:val="00547A24"/>
    <w:rsid w:val="00547B7F"/>
    <w:rsid w:val="00553481"/>
    <w:rsid w:val="00553892"/>
    <w:rsid w:val="005626F1"/>
    <w:rsid w:val="005658E8"/>
    <w:rsid w:val="005705B0"/>
    <w:rsid w:val="00570619"/>
    <w:rsid w:val="00575BCC"/>
    <w:rsid w:val="005806F0"/>
    <w:rsid w:val="00580E87"/>
    <w:rsid w:val="005824AE"/>
    <w:rsid w:val="00582B93"/>
    <w:rsid w:val="00583BB1"/>
    <w:rsid w:val="00586BB5"/>
    <w:rsid w:val="005904FD"/>
    <w:rsid w:val="0059170C"/>
    <w:rsid w:val="00592D69"/>
    <w:rsid w:val="0059476A"/>
    <w:rsid w:val="0059572C"/>
    <w:rsid w:val="00596837"/>
    <w:rsid w:val="005A1C6B"/>
    <w:rsid w:val="005A421C"/>
    <w:rsid w:val="005A65FD"/>
    <w:rsid w:val="005A6817"/>
    <w:rsid w:val="005A6C5E"/>
    <w:rsid w:val="005B2DF9"/>
    <w:rsid w:val="005B4D9A"/>
    <w:rsid w:val="005B67E5"/>
    <w:rsid w:val="005B6C91"/>
    <w:rsid w:val="005C2589"/>
    <w:rsid w:val="005C3F5F"/>
    <w:rsid w:val="005C4E43"/>
    <w:rsid w:val="005C7DF9"/>
    <w:rsid w:val="005E062C"/>
    <w:rsid w:val="005E1352"/>
    <w:rsid w:val="005E21A2"/>
    <w:rsid w:val="005E51B0"/>
    <w:rsid w:val="005E638E"/>
    <w:rsid w:val="005F0C79"/>
    <w:rsid w:val="006008A2"/>
    <w:rsid w:val="006031A6"/>
    <w:rsid w:val="006054F8"/>
    <w:rsid w:val="0060672D"/>
    <w:rsid w:val="0060760C"/>
    <w:rsid w:val="006103C6"/>
    <w:rsid w:val="0061437C"/>
    <w:rsid w:val="00614AE4"/>
    <w:rsid w:val="00624F17"/>
    <w:rsid w:val="00625A4D"/>
    <w:rsid w:val="00631E42"/>
    <w:rsid w:val="006325FD"/>
    <w:rsid w:val="006345C1"/>
    <w:rsid w:val="0063699D"/>
    <w:rsid w:val="0064123A"/>
    <w:rsid w:val="006413CE"/>
    <w:rsid w:val="006426F8"/>
    <w:rsid w:val="00642EBF"/>
    <w:rsid w:val="0065357B"/>
    <w:rsid w:val="0065662D"/>
    <w:rsid w:val="0065664C"/>
    <w:rsid w:val="00660CB4"/>
    <w:rsid w:val="00663327"/>
    <w:rsid w:val="00663A2B"/>
    <w:rsid w:val="006647EC"/>
    <w:rsid w:val="00664954"/>
    <w:rsid w:val="00666638"/>
    <w:rsid w:val="00673FDA"/>
    <w:rsid w:val="0067431C"/>
    <w:rsid w:val="0067586E"/>
    <w:rsid w:val="006778FD"/>
    <w:rsid w:val="00677DA1"/>
    <w:rsid w:val="00680FE3"/>
    <w:rsid w:val="006841CA"/>
    <w:rsid w:val="00684F8D"/>
    <w:rsid w:val="00686ECD"/>
    <w:rsid w:val="006931FF"/>
    <w:rsid w:val="006A4D2C"/>
    <w:rsid w:val="006A5A38"/>
    <w:rsid w:val="006A7622"/>
    <w:rsid w:val="006B25E2"/>
    <w:rsid w:val="006B2BD5"/>
    <w:rsid w:val="006B3721"/>
    <w:rsid w:val="006B3EA7"/>
    <w:rsid w:val="006B465B"/>
    <w:rsid w:val="006B7383"/>
    <w:rsid w:val="006C29FA"/>
    <w:rsid w:val="006C2C62"/>
    <w:rsid w:val="006C41BC"/>
    <w:rsid w:val="006C56A9"/>
    <w:rsid w:val="006C602B"/>
    <w:rsid w:val="006C72DF"/>
    <w:rsid w:val="006D5A00"/>
    <w:rsid w:val="006D6F52"/>
    <w:rsid w:val="006E0FA3"/>
    <w:rsid w:val="006E24AC"/>
    <w:rsid w:val="006E3202"/>
    <w:rsid w:val="006E388B"/>
    <w:rsid w:val="006E403D"/>
    <w:rsid w:val="006E4E3B"/>
    <w:rsid w:val="006F13F1"/>
    <w:rsid w:val="006F3021"/>
    <w:rsid w:val="006F57D4"/>
    <w:rsid w:val="006F69B5"/>
    <w:rsid w:val="006F6BA0"/>
    <w:rsid w:val="006F6D14"/>
    <w:rsid w:val="006F6DAC"/>
    <w:rsid w:val="0070131E"/>
    <w:rsid w:val="00701BBE"/>
    <w:rsid w:val="00702796"/>
    <w:rsid w:val="007027E1"/>
    <w:rsid w:val="0070326B"/>
    <w:rsid w:val="0070741D"/>
    <w:rsid w:val="0071079D"/>
    <w:rsid w:val="007150F5"/>
    <w:rsid w:val="00717D76"/>
    <w:rsid w:val="00722FE9"/>
    <w:rsid w:val="00723985"/>
    <w:rsid w:val="007317DB"/>
    <w:rsid w:val="0074001F"/>
    <w:rsid w:val="0074092D"/>
    <w:rsid w:val="00741EA2"/>
    <w:rsid w:val="00752449"/>
    <w:rsid w:val="00756E9E"/>
    <w:rsid w:val="00760AA2"/>
    <w:rsid w:val="0076401F"/>
    <w:rsid w:val="00770327"/>
    <w:rsid w:val="00770484"/>
    <w:rsid w:val="00780327"/>
    <w:rsid w:val="007806A8"/>
    <w:rsid w:val="00783689"/>
    <w:rsid w:val="007841C7"/>
    <w:rsid w:val="0078437A"/>
    <w:rsid w:val="007856C2"/>
    <w:rsid w:val="00785DF3"/>
    <w:rsid w:val="00795729"/>
    <w:rsid w:val="00796749"/>
    <w:rsid w:val="007A1808"/>
    <w:rsid w:val="007A2510"/>
    <w:rsid w:val="007A7DA5"/>
    <w:rsid w:val="007B3C8A"/>
    <w:rsid w:val="007B43CD"/>
    <w:rsid w:val="007B533F"/>
    <w:rsid w:val="007B5416"/>
    <w:rsid w:val="007B600D"/>
    <w:rsid w:val="007B6CEF"/>
    <w:rsid w:val="007C04DE"/>
    <w:rsid w:val="007C1077"/>
    <w:rsid w:val="007C3EBD"/>
    <w:rsid w:val="007C6AA0"/>
    <w:rsid w:val="007D60E9"/>
    <w:rsid w:val="007F32C0"/>
    <w:rsid w:val="007F39F6"/>
    <w:rsid w:val="007F438E"/>
    <w:rsid w:val="007F6558"/>
    <w:rsid w:val="007F6D25"/>
    <w:rsid w:val="00801AAF"/>
    <w:rsid w:val="008059FA"/>
    <w:rsid w:val="00806E39"/>
    <w:rsid w:val="00811009"/>
    <w:rsid w:val="008111C3"/>
    <w:rsid w:val="00811ACA"/>
    <w:rsid w:val="008152B4"/>
    <w:rsid w:val="00815B72"/>
    <w:rsid w:val="008166D5"/>
    <w:rsid w:val="00824FB8"/>
    <w:rsid w:val="0082673D"/>
    <w:rsid w:val="00827570"/>
    <w:rsid w:val="00827E67"/>
    <w:rsid w:val="008306F5"/>
    <w:rsid w:val="00831075"/>
    <w:rsid w:val="00835F05"/>
    <w:rsid w:val="00842398"/>
    <w:rsid w:val="008424D4"/>
    <w:rsid w:val="00844659"/>
    <w:rsid w:val="00844703"/>
    <w:rsid w:val="008466B5"/>
    <w:rsid w:val="0085063C"/>
    <w:rsid w:val="00854DAE"/>
    <w:rsid w:val="00856A18"/>
    <w:rsid w:val="00862AE5"/>
    <w:rsid w:val="008660B2"/>
    <w:rsid w:val="00874CC6"/>
    <w:rsid w:val="00875178"/>
    <w:rsid w:val="00876CD8"/>
    <w:rsid w:val="00883484"/>
    <w:rsid w:val="008878CB"/>
    <w:rsid w:val="00887E60"/>
    <w:rsid w:val="008A2B42"/>
    <w:rsid w:val="008A6CE1"/>
    <w:rsid w:val="008B05B0"/>
    <w:rsid w:val="008B2BE1"/>
    <w:rsid w:val="008B5A18"/>
    <w:rsid w:val="008B6F3F"/>
    <w:rsid w:val="008C3181"/>
    <w:rsid w:val="008C37ED"/>
    <w:rsid w:val="008C7005"/>
    <w:rsid w:val="008C729C"/>
    <w:rsid w:val="008D44BE"/>
    <w:rsid w:val="008D4C61"/>
    <w:rsid w:val="008D7E3A"/>
    <w:rsid w:val="008E04AB"/>
    <w:rsid w:val="008E06EF"/>
    <w:rsid w:val="008E2AFB"/>
    <w:rsid w:val="008E39B3"/>
    <w:rsid w:val="008E3D57"/>
    <w:rsid w:val="008E3ECC"/>
    <w:rsid w:val="008E5C31"/>
    <w:rsid w:val="008E5FBC"/>
    <w:rsid w:val="008E6D3E"/>
    <w:rsid w:val="008F3A98"/>
    <w:rsid w:val="008F4E92"/>
    <w:rsid w:val="008F5CC6"/>
    <w:rsid w:val="008F66A7"/>
    <w:rsid w:val="0090199D"/>
    <w:rsid w:val="00901B81"/>
    <w:rsid w:val="00905471"/>
    <w:rsid w:val="00906A75"/>
    <w:rsid w:val="00906F7E"/>
    <w:rsid w:val="009116EE"/>
    <w:rsid w:val="00912A9A"/>
    <w:rsid w:val="009178E5"/>
    <w:rsid w:val="00921373"/>
    <w:rsid w:val="0092346E"/>
    <w:rsid w:val="00924786"/>
    <w:rsid w:val="00926577"/>
    <w:rsid w:val="00927094"/>
    <w:rsid w:val="00927DFB"/>
    <w:rsid w:val="00930166"/>
    <w:rsid w:val="00930898"/>
    <w:rsid w:val="009331E6"/>
    <w:rsid w:val="00933CE4"/>
    <w:rsid w:val="009366C9"/>
    <w:rsid w:val="00937B80"/>
    <w:rsid w:val="00940E7E"/>
    <w:rsid w:val="00940EE7"/>
    <w:rsid w:val="00944A09"/>
    <w:rsid w:val="00947E67"/>
    <w:rsid w:val="0095245A"/>
    <w:rsid w:val="00952EB1"/>
    <w:rsid w:val="009532BC"/>
    <w:rsid w:val="009608D0"/>
    <w:rsid w:val="00961A43"/>
    <w:rsid w:val="009622EF"/>
    <w:rsid w:val="009629FF"/>
    <w:rsid w:val="00962C08"/>
    <w:rsid w:val="00964C63"/>
    <w:rsid w:val="00965D4B"/>
    <w:rsid w:val="00965F8D"/>
    <w:rsid w:val="0097363D"/>
    <w:rsid w:val="009775EA"/>
    <w:rsid w:val="00981D3C"/>
    <w:rsid w:val="00981FE4"/>
    <w:rsid w:val="00982643"/>
    <w:rsid w:val="00982DFA"/>
    <w:rsid w:val="00983241"/>
    <w:rsid w:val="0098329B"/>
    <w:rsid w:val="009842CD"/>
    <w:rsid w:val="00986025"/>
    <w:rsid w:val="009866E6"/>
    <w:rsid w:val="0098681C"/>
    <w:rsid w:val="00987602"/>
    <w:rsid w:val="00987D79"/>
    <w:rsid w:val="00993CC6"/>
    <w:rsid w:val="0099623D"/>
    <w:rsid w:val="009A17C0"/>
    <w:rsid w:val="009A22EE"/>
    <w:rsid w:val="009B2A6A"/>
    <w:rsid w:val="009B2B22"/>
    <w:rsid w:val="009B6856"/>
    <w:rsid w:val="009C1387"/>
    <w:rsid w:val="009C317C"/>
    <w:rsid w:val="009C427D"/>
    <w:rsid w:val="009C5079"/>
    <w:rsid w:val="009C57F2"/>
    <w:rsid w:val="009D0C37"/>
    <w:rsid w:val="009D1434"/>
    <w:rsid w:val="009D25F3"/>
    <w:rsid w:val="009D58F8"/>
    <w:rsid w:val="009D60E3"/>
    <w:rsid w:val="009E327C"/>
    <w:rsid w:val="009E406E"/>
    <w:rsid w:val="009F13FB"/>
    <w:rsid w:val="009F4826"/>
    <w:rsid w:val="009F54D3"/>
    <w:rsid w:val="00A0104D"/>
    <w:rsid w:val="00A028E3"/>
    <w:rsid w:val="00A02A46"/>
    <w:rsid w:val="00A030FF"/>
    <w:rsid w:val="00A05E36"/>
    <w:rsid w:val="00A05EE9"/>
    <w:rsid w:val="00A07CAC"/>
    <w:rsid w:val="00A10026"/>
    <w:rsid w:val="00A10779"/>
    <w:rsid w:val="00A12D7A"/>
    <w:rsid w:val="00A166DC"/>
    <w:rsid w:val="00A16EE2"/>
    <w:rsid w:val="00A17B44"/>
    <w:rsid w:val="00A21E77"/>
    <w:rsid w:val="00A229DA"/>
    <w:rsid w:val="00A230D2"/>
    <w:rsid w:val="00A23860"/>
    <w:rsid w:val="00A23DB5"/>
    <w:rsid w:val="00A30E06"/>
    <w:rsid w:val="00A31090"/>
    <w:rsid w:val="00A41EE4"/>
    <w:rsid w:val="00A4688F"/>
    <w:rsid w:val="00A522C6"/>
    <w:rsid w:val="00A52856"/>
    <w:rsid w:val="00A552D1"/>
    <w:rsid w:val="00A62628"/>
    <w:rsid w:val="00A716A1"/>
    <w:rsid w:val="00A74DBA"/>
    <w:rsid w:val="00A750C2"/>
    <w:rsid w:val="00A750E4"/>
    <w:rsid w:val="00A75845"/>
    <w:rsid w:val="00A77040"/>
    <w:rsid w:val="00A773C3"/>
    <w:rsid w:val="00A830A4"/>
    <w:rsid w:val="00A95906"/>
    <w:rsid w:val="00A978B9"/>
    <w:rsid w:val="00AA2C32"/>
    <w:rsid w:val="00AA4315"/>
    <w:rsid w:val="00AA74B3"/>
    <w:rsid w:val="00AB6015"/>
    <w:rsid w:val="00AC2225"/>
    <w:rsid w:val="00AC7BF0"/>
    <w:rsid w:val="00AD4089"/>
    <w:rsid w:val="00AD4815"/>
    <w:rsid w:val="00AD5443"/>
    <w:rsid w:val="00AD5635"/>
    <w:rsid w:val="00AE28C2"/>
    <w:rsid w:val="00AF2828"/>
    <w:rsid w:val="00AF35F9"/>
    <w:rsid w:val="00AF4E11"/>
    <w:rsid w:val="00AF5685"/>
    <w:rsid w:val="00B009A8"/>
    <w:rsid w:val="00B03D06"/>
    <w:rsid w:val="00B06D5E"/>
    <w:rsid w:val="00B1023E"/>
    <w:rsid w:val="00B10263"/>
    <w:rsid w:val="00B10C2E"/>
    <w:rsid w:val="00B11E3C"/>
    <w:rsid w:val="00B152A9"/>
    <w:rsid w:val="00B2450D"/>
    <w:rsid w:val="00B24C41"/>
    <w:rsid w:val="00B24D7D"/>
    <w:rsid w:val="00B25705"/>
    <w:rsid w:val="00B33056"/>
    <w:rsid w:val="00B36DA2"/>
    <w:rsid w:val="00B373AA"/>
    <w:rsid w:val="00B37975"/>
    <w:rsid w:val="00B4083E"/>
    <w:rsid w:val="00B41C8B"/>
    <w:rsid w:val="00B43344"/>
    <w:rsid w:val="00B4414C"/>
    <w:rsid w:val="00B448B7"/>
    <w:rsid w:val="00B44C2B"/>
    <w:rsid w:val="00B450A6"/>
    <w:rsid w:val="00B511BE"/>
    <w:rsid w:val="00B523B2"/>
    <w:rsid w:val="00B542F8"/>
    <w:rsid w:val="00B57A3F"/>
    <w:rsid w:val="00B57A94"/>
    <w:rsid w:val="00B61849"/>
    <w:rsid w:val="00B6232F"/>
    <w:rsid w:val="00B62F44"/>
    <w:rsid w:val="00B64DE0"/>
    <w:rsid w:val="00B724F8"/>
    <w:rsid w:val="00B80A09"/>
    <w:rsid w:val="00B80D68"/>
    <w:rsid w:val="00B84830"/>
    <w:rsid w:val="00B85F9B"/>
    <w:rsid w:val="00B876E6"/>
    <w:rsid w:val="00B87B18"/>
    <w:rsid w:val="00B927DA"/>
    <w:rsid w:val="00B95A52"/>
    <w:rsid w:val="00BA7D1A"/>
    <w:rsid w:val="00BB4666"/>
    <w:rsid w:val="00BB5365"/>
    <w:rsid w:val="00BB5E78"/>
    <w:rsid w:val="00BC3746"/>
    <w:rsid w:val="00BC3F8B"/>
    <w:rsid w:val="00BC6D5C"/>
    <w:rsid w:val="00BC6F54"/>
    <w:rsid w:val="00BC6FBC"/>
    <w:rsid w:val="00BC73E2"/>
    <w:rsid w:val="00BD4833"/>
    <w:rsid w:val="00BD5189"/>
    <w:rsid w:val="00BD6A85"/>
    <w:rsid w:val="00BE1E4B"/>
    <w:rsid w:val="00BE3FFD"/>
    <w:rsid w:val="00BE41C7"/>
    <w:rsid w:val="00BF1725"/>
    <w:rsid w:val="00BF1937"/>
    <w:rsid w:val="00BF3213"/>
    <w:rsid w:val="00BF3694"/>
    <w:rsid w:val="00BF38BB"/>
    <w:rsid w:val="00C00000"/>
    <w:rsid w:val="00C01350"/>
    <w:rsid w:val="00C0173C"/>
    <w:rsid w:val="00C024A9"/>
    <w:rsid w:val="00C03E81"/>
    <w:rsid w:val="00C057A8"/>
    <w:rsid w:val="00C061FA"/>
    <w:rsid w:val="00C07B5B"/>
    <w:rsid w:val="00C11AFF"/>
    <w:rsid w:val="00C14449"/>
    <w:rsid w:val="00C1558B"/>
    <w:rsid w:val="00C15C27"/>
    <w:rsid w:val="00C17D07"/>
    <w:rsid w:val="00C240F2"/>
    <w:rsid w:val="00C30519"/>
    <w:rsid w:val="00C3243A"/>
    <w:rsid w:val="00C328A3"/>
    <w:rsid w:val="00C353F8"/>
    <w:rsid w:val="00C374B6"/>
    <w:rsid w:val="00C41EF7"/>
    <w:rsid w:val="00C422E5"/>
    <w:rsid w:val="00C455F3"/>
    <w:rsid w:val="00C462DD"/>
    <w:rsid w:val="00C530A0"/>
    <w:rsid w:val="00C5721E"/>
    <w:rsid w:val="00C57D3D"/>
    <w:rsid w:val="00C60B9F"/>
    <w:rsid w:val="00C658B9"/>
    <w:rsid w:val="00C67A11"/>
    <w:rsid w:val="00C7370A"/>
    <w:rsid w:val="00C75C10"/>
    <w:rsid w:val="00C76D04"/>
    <w:rsid w:val="00C772C8"/>
    <w:rsid w:val="00C82C19"/>
    <w:rsid w:val="00C858F3"/>
    <w:rsid w:val="00C85D03"/>
    <w:rsid w:val="00C91CAC"/>
    <w:rsid w:val="00C93000"/>
    <w:rsid w:val="00C9324D"/>
    <w:rsid w:val="00C961CD"/>
    <w:rsid w:val="00C97485"/>
    <w:rsid w:val="00C97CB8"/>
    <w:rsid w:val="00CA2160"/>
    <w:rsid w:val="00CB0D58"/>
    <w:rsid w:val="00CB1EA4"/>
    <w:rsid w:val="00CB43F4"/>
    <w:rsid w:val="00CB4D43"/>
    <w:rsid w:val="00CB644A"/>
    <w:rsid w:val="00CC0174"/>
    <w:rsid w:val="00CC01ED"/>
    <w:rsid w:val="00CC0C61"/>
    <w:rsid w:val="00CC2C79"/>
    <w:rsid w:val="00CD3ED5"/>
    <w:rsid w:val="00CD5DF1"/>
    <w:rsid w:val="00CD668C"/>
    <w:rsid w:val="00CD7404"/>
    <w:rsid w:val="00CD7E10"/>
    <w:rsid w:val="00CE1CC6"/>
    <w:rsid w:val="00CE243D"/>
    <w:rsid w:val="00CE77E7"/>
    <w:rsid w:val="00CE79E1"/>
    <w:rsid w:val="00CF350C"/>
    <w:rsid w:val="00CF7C08"/>
    <w:rsid w:val="00D01663"/>
    <w:rsid w:val="00D03296"/>
    <w:rsid w:val="00D03C72"/>
    <w:rsid w:val="00D041F9"/>
    <w:rsid w:val="00D075E6"/>
    <w:rsid w:val="00D076F3"/>
    <w:rsid w:val="00D11802"/>
    <w:rsid w:val="00D12B38"/>
    <w:rsid w:val="00D13A48"/>
    <w:rsid w:val="00D17387"/>
    <w:rsid w:val="00D20E16"/>
    <w:rsid w:val="00D219E9"/>
    <w:rsid w:val="00D25061"/>
    <w:rsid w:val="00D252B1"/>
    <w:rsid w:val="00D2613D"/>
    <w:rsid w:val="00D26AD8"/>
    <w:rsid w:val="00D277BA"/>
    <w:rsid w:val="00D32892"/>
    <w:rsid w:val="00D34E8A"/>
    <w:rsid w:val="00D37281"/>
    <w:rsid w:val="00D41BBC"/>
    <w:rsid w:val="00D427FA"/>
    <w:rsid w:val="00D43E88"/>
    <w:rsid w:val="00D46F32"/>
    <w:rsid w:val="00D479AB"/>
    <w:rsid w:val="00D507A7"/>
    <w:rsid w:val="00D51AD4"/>
    <w:rsid w:val="00D52FCB"/>
    <w:rsid w:val="00D54B1C"/>
    <w:rsid w:val="00D5614B"/>
    <w:rsid w:val="00D56302"/>
    <w:rsid w:val="00D56994"/>
    <w:rsid w:val="00D6000B"/>
    <w:rsid w:val="00D62178"/>
    <w:rsid w:val="00D63C34"/>
    <w:rsid w:val="00D648CE"/>
    <w:rsid w:val="00D7020C"/>
    <w:rsid w:val="00D71294"/>
    <w:rsid w:val="00D82824"/>
    <w:rsid w:val="00D867AA"/>
    <w:rsid w:val="00D86ADE"/>
    <w:rsid w:val="00D91BB8"/>
    <w:rsid w:val="00D92959"/>
    <w:rsid w:val="00D94999"/>
    <w:rsid w:val="00D957A3"/>
    <w:rsid w:val="00D9695A"/>
    <w:rsid w:val="00DA0FAE"/>
    <w:rsid w:val="00DA13E0"/>
    <w:rsid w:val="00DA15FE"/>
    <w:rsid w:val="00DA1679"/>
    <w:rsid w:val="00DA2261"/>
    <w:rsid w:val="00DA6BE1"/>
    <w:rsid w:val="00DA7F3C"/>
    <w:rsid w:val="00DB1C74"/>
    <w:rsid w:val="00DB245A"/>
    <w:rsid w:val="00DC05B0"/>
    <w:rsid w:val="00DC1656"/>
    <w:rsid w:val="00DC1935"/>
    <w:rsid w:val="00DC1CBA"/>
    <w:rsid w:val="00DD3BBF"/>
    <w:rsid w:val="00DD4486"/>
    <w:rsid w:val="00DD567D"/>
    <w:rsid w:val="00DD5BDE"/>
    <w:rsid w:val="00DD6D64"/>
    <w:rsid w:val="00DD7867"/>
    <w:rsid w:val="00DD7DB1"/>
    <w:rsid w:val="00DE167F"/>
    <w:rsid w:val="00DE61BE"/>
    <w:rsid w:val="00DE7398"/>
    <w:rsid w:val="00DE7720"/>
    <w:rsid w:val="00DF1AB7"/>
    <w:rsid w:val="00DF2FE4"/>
    <w:rsid w:val="00DF342D"/>
    <w:rsid w:val="00DF5F2A"/>
    <w:rsid w:val="00E0199A"/>
    <w:rsid w:val="00E02E06"/>
    <w:rsid w:val="00E02E78"/>
    <w:rsid w:val="00E032E7"/>
    <w:rsid w:val="00E0720A"/>
    <w:rsid w:val="00E144E0"/>
    <w:rsid w:val="00E1548B"/>
    <w:rsid w:val="00E16780"/>
    <w:rsid w:val="00E21003"/>
    <w:rsid w:val="00E21BEE"/>
    <w:rsid w:val="00E23FE9"/>
    <w:rsid w:val="00E255C9"/>
    <w:rsid w:val="00E25D78"/>
    <w:rsid w:val="00E279E2"/>
    <w:rsid w:val="00E30C25"/>
    <w:rsid w:val="00E35171"/>
    <w:rsid w:val="00E36299"/>
    <w:rsid w:val="00E3788E"/>
    <w:rsid w:val="00E40E1C"/>
    <w:rsid w:val="00E43EE0"/>
    <w:rsid w:val="00E441B8"/>
    <w:rsid w:val="00E51409"/>
    <w:rsid w:val="00E52907"/>
    <w:rsid w:val="00E52EA1"/>
    <w:rsid w:val="00E57068"/>
    <w:rsid w:val="00E62869"/>
    <w:rsid w:val="00E6305E"/>
    <w:rsid w:val="00E6307B"/>
    <w:rsid w:val="00E71803"/>
    <w:rsid w:val="00E71DB2"/>
    <w:rsid w:val="00E758B5"/>
    <w:rsid w:val="00E80164"/>
    <w:rsid w:val="00E81787"/>
    <w:rsid w:val="00E81C55"/>
    <w:rsid w:val="00E82BB4"/>
    <w:rsid w:val="00E86992"/>
    <w:rsid w:val="00E87E88"/>
    <w:rsid w:val="00E91A52"/>
    <w:rsid w:val="00E91D03"/>
    <w:rsid w:val="00E931D2"/>
    <w:rsid w:val="00E93D8A"/>
    <w:rsid w:val="00E94F09"/>
    <w:rsid w:val="00EA1DD6"/>
    <w:rsid w:val="00EA22BB"/>
    <w:rsid w:val="00EA2BB8"/>
    <w:rsid w:val="00EA541A"/>
    <w:rsid w:val="00EA5A45"/>
    <w:rsid w:val="00EB40A1"/>
    <w:rsid w:val="00EC05AF"/>
    <w:rsid w:val="00EC3625"/>
    <w:rsid w:val="00EC3F9C"/>
    <w:rsid w:val="00EC799F"/>
    <w:rsid w:val="00EC7AF1"/>
    <w:rsid w:val="00EC7D1B"/>
    <w:rsid w:val="00ED11E7"/>
    <w:rsid w:val="00ED1A24"/>
    <w:rsid w:val="00ED7CC1"/>
    <w:rsid w:val="00EE0558"/>
    <w:rsid w:val="00EE077F"/>
    <w:rsid w:val="00EE3D18"/>
    <w:rsid w:val="00EE4D17"/>
    <w:rsid w:val="00EE60A2"/>
    <w:rsid w:val="00EF04AF"/>
    <w:rsid w:val="00EF0F7B"/>
    <w:rsid w:val="00EF1A67"/>
    <w:rsid w:val="00EF566A"/>
    <w:rsid w:val="00EF6BA5"/>
    <w:rsid w:val="00F00CE0"/>
    <w:rsid w:val="00F03290"/>
    <w:rsid w:val="00F058A1"/>
    <w:rsid w:val="00F06C1E"/>
    <w:rsid w:val="00F1054D"/>
    <w:rsid w:val="00F108E2"/>
    <w:rsid w:val="00F1243E"/>
    <w:rsid w:val="00F137D8"/>
    <w:rsid w:val="00F13C79"/>
    <w:rsid w:val="00F16C28"/>
    <w:rsid w:val="00F172D3"/>
    <w:rsid w:val="00F21C87"/>
    <w:rsid w:val="00F21F98"/>
    <w:rsid w:val="00F22ACB"/>
    <w:rsid w:val="00F2486B"/>
    <w:rsid w:val="00F273C3"/>
    <w:rsid w:val="00F27555"/>
    <w:rsid w:val="00F357BD"/>
    <w:rsid w:val="00F36B88"/>
    <w:rsid w:val="00F37C5C"/>
    <w:rsid w:val="00F40F5F"/>
    <w:rsid w:val="00F42A29"/>
    <w:rsid w:val="00F42CDD"/>
    <w:rsid w:val="00F439E7"/>
    <w:rsid w:val="00F52341"/>
    <w:rsid w:val="00F54BA5"/>
    <w:rsid w:val="00F54E85"/>
    <w:rsid w:val="00F62B0D"/>
    <w:rsid w:val="00F62E5A"/>
    <w:rsid w:val="00F71E49"/>
    <w:rsid w:val="00F7248B"/>
    <w:rsid w:val="00F746BD"/>
    <w:rsid w:val="00F75A7F"/>
    <w:rsid w:val="00F7692B"/>
    <w:rsid w:val="00F872A0"/>
    <w:rsid w:val="00F87866"/>
    <w:rsid w:val="00F878C4"/>
    <w:rsid w:val="00F9020B"/>
    <w:rsid w:val="00F911CE"/>
    <w:rsid w:val="00F953E4"/>
    <w:rsid w:val="00F97BC3"/>
    <w:rsid w:val="00FA0F8A"/>
    <w:rsid w:val="00FA24E1"/>
    <w:rsid w:val="00FA528A"/>
    <w:rsid w:val="00FB2544"/>
    <w:rsid w:val="00FB47EC"/>
    <w:rsid w:val="00FC1900"/>
    <w:rsid w:val="00FC2E01"/>
    <w:rsid w:val="00FC3220"/>
    <w:rsid w:val="00FC3EE1"/>
    <w:rsid w:val="00FD2E56"/>
    <w:rsid w:val="00FD2F6D"/>
    <w:rsid w:val="00FD52E6"/>
    <w:rsid w:val="00FD591F"/>
    <w:rsid w:val="00FD5D4F"/>
    <w:rsid w:val="00FD68C9"/>
    <w:rsid w:val="00FD72C0"/>
    <w:rsid w:val="00FE3C93"/>
    <w:rsid w:val="00FE554D"/>
    <w:rsid w:val="00FE6780"/>
    <w:rsid w:val="00FE75DA"/>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link w:val="BodyTextChar"/>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 w:type="character" w:customStyle="1" w:styleId="BodyTextChar">
    <w:name w:val="Body Text Char"/>
    <w:basedOn w:val="DefaultParagraphFont"/>
    <w:link w:val="BodyText"/>
    <w:rsid w:val="00AD4089"/>
    <w:rPr>
      <w:rFonts w:ascii="Times New Roman"/>
      <w:sz w:val="24"/>
      <w:szCs w:val="28"/>
    </w:rPr>
  </w:style>
  <w:style w:type="paragraph" w:styleId="ListParagraph">
    <w:name w:val="List Paragraph"/>
    <w:basedOn w:val="Normal"/>
    <w:uiPriority w:val="34"/>
    <w:qFormat/>
    <w:rsid w:val="00CC2C79"/>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8"/>
      <w14:ligatures w14:val="standardContextual"/>
    </w:rPr>
  </w:style>
  <w:style w:type="paragraph" w:styleId="NormalWeb">
    <w:name w:val="Normal (Web)"/>
    <w:basedOn w:val="Normal"/>
    <w:uiPriority w:val="99"/>
    <w:semiHidden/>
    <w:unhideWhenUsed/>
    <w:rsid w:val="009A22EE"/>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80131">
      <w:bodyDiv w:val="1"/>
      <w:marLeft w:val="0"/>
      <w:marRight w:val="0"/>
      <w:marTop w:val="0"/>
      <w:marBottom w:val="0"/>
      <w:divBdr>
        <w:top w:val="none" w:sz="0" w:space="0" w:color="auto"/>
        <w:left w:val="none" w:sz="0" w:space="0" w:color="auto"/>
        <w:bottom w:val="none" w:sz="0" w:space="0" w:color="auto"/>
        <w:right w:val="none" w:sz="0" w:space="0" w:color="auto"/>
      </w:divBdr>
    </w:div>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437142639">
      <w:bodyDiv w:val="1"/>
      <w:marLeft w:val="0"/>
      <w:marRight w:val="0"/>
      <w:marTop w:val="0"/>
      <w:marBottom w:val="0"/>
      <w:divBdr>
        <w:top w:val="none" w:sz="0" w:space="0" w:color="auto"/>
        <w:left w:val="none" w:sz="0" w:space="0" w:color="auto"/>
        <w:bottom w:val="none" w:sz="0" w:space="0" w:color="auto"/>
        <w:right w:val="none" w:sz="0" w:space="0" w:color="auto"/>
      </w:divBdr>
    </w:div>
    <w:div w:id="638269158">
      <w:bodyDiv w:val="1"/>
      <w:marLeft w:val="0"/>
      <w:marRight w:val="0"/>
      <w:marTop w:val="0"/>
      <w:marBottom w:val="0"/>
      <w:divBdr>
        <w:top w:val="none" w:sz="0" w:space="0" w:color="auto"/>
        <w:left w:val="none" w:sz="0" w:space="0" w:color="auto"/>
        <w:bottom w:val="none" w:sz="0" w:space="0" w:color="auto"/>
        <w:right w:val="none" w:sz="0" w:space="0" w:color="auto"/>
      </w:divBdr>
    </w:div>
    <w:div w:id="714429438">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1219779017">
      <w:bodyDiv w:val="1"/>
      <w:marLeft w:val="0"/>
      <w:marRight w:val="0"/>
      <w:marTop w:val="0"/>
      <w:marBottom w:val="0"/>
      <w:divBdr>
        <w:top w:val="none" w:sz="0" w:space="0" w:color="auto"/>
        <w:left w:val="none" w:sz="0" w:space="0" w:color="auto"/>
        <w:bottom w:val="none" w:sz="0" w:space="0" w:color="auto"/>
        <w:right w:val="none" w:sz="0" w:space="0" w:color="auto"/>
      </w:divBdr>
    </w:div>
    <w:div w:id="1260873557">
      <w:bodyDiv w:val="1"/>
      <w:marLeft w:val="0"/>
      <w:marRight w:val="0"/>
      <w:marTop w:val="0"/>
      <w:marBottom w:val="0"/>
      <w:divBdr>
        <w:top w:val="none" w:sz="0" w:space="0" w:color="auto"/>
        <w:left w:val="none" w:sz="0" w:space="0" w:color="auto"/>
        <w:bottom w:val="none" w:sz="0" w:space="0" w:color="auto"/>
        <w:right w:val="none" w:sz="0" w:space="0" w:color="auto"/>
      </w:divBdr>
    </w:div>
    <w:div w:id="1381441927">
      <w:bodyDiv w:val="1"/>
      <w:marLeft w:val="0"/>
      <w:marRight w:val="0"/>
      <w:marTop w:val="0"/>
      <w:marBottom w:val="0"/>
      <w:divBdr>
        <w:top w:val="none" w:sz="0" w:space="0" w:color="auto"/>
        <w:left w:val="none" w:sz="0" w:space="0" w:color="auto"/>
        <w:bottom w:val="none" w:sz="0" w:space="0" w:color="auto"/>
        <w:right w:val="none" w:sz="0" w:space="0" w:color="auto"/>
      </w:divBdr>
    </w:div>
    <w:div w:id="1488932920">
      <w:bodyDiv w:val="1"/>
      <w:marLeft w:val="0"/>
      <w:marRight w:val="0"/>
      <w:marTop w:val="0"/>
      <w:marBottom w:val="0"/>
      <w:divBdr>
        <w:top w:val="none" w:sz="0" w:space="0" w:color="auto"/>
        <w:left w:val="none" w:sz="0" w:space="0" w:color="auto"/>
        <w:bottom w:val="none" w:sz="0" w:space="0" w:color="auto"/>
        <w:right w:val="none" w:sz="0" w:space="0" w:color="auto"/>
      </w:divBdr>
    </w:div>
    <w:div w:id="1728528460">
      <w:bodyDiv w:val="1"/>
      <w:marLeft w:val="0"/>
      <w:marRight w:val="0"/>
      <w:marTop w:val="0"/>
      <w:marBottom w:val="0"/>
      <w:divBdr>
        <w:top w:val="none" w:sz="0" w:space="0" w:color="auto"/>
        <w:left w:val="none" w:sz="0" w:space="0" w:color="auto"/>
        <w:bottom w:val="none" w:sz="0" w:space="0" w:color="auto"/>
        <w:right w:val="none" w:sz="0" w:space="0" w:color="auto"/>
      </w:divBdr>
    </w:div>
    <w:div w:id="2023430643">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614</TotalTime>
  <Pages>8</Pages>
  <Words>2196</Words>
  <Characters>12368</Characters>
  <Application>Microsoft Office Word</Application>
  <DocSecurity>0</DocSecurity>
  <Lines>951</Lines>
  <Paragraphs>661</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13903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Monthira Nitsuwan</cp:lastModifiedBy>
  <cp:revision>464</cp:revision>
  <cp:lastPrinted>2026-02-23T12:02:00Z</cp:lastPrinted>
  <dcterms:created xsi:type="dcterms:W3CDTF">2025-02-10T08:48:00Z</dcterms:created>
  <dcterms:modified xsi:type="dcterms:W3CDTF">2026-02-23T12:07:00Z</dcterms:modified>
</cp:coreProperties>
</file>