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2A694" w14:textId="77777777" w:rsidR="007519B4" w:rsidRPr="00053422" w:rsidRDefault="007519B4" w:rsidP="007519B4">
      <w:pPr>
        <w:pStyle w:val="a"/>
        <w:spacing w:before="120"/>
        <w:ind w:right="0"/>
        <w:rPr>
          <w:rFonts w:ascii="Angsana New" w:hAnsi="Angsana New"/>
          <w:b/>
          <w:bCs/>
          <w:sz w:val="30"/>
          <w:szCs w:val="30"/>
          <w:cs/>
        </w:rPr>
      </w:pPr>
    </w:p>
    <w:p w14:paraId="25FD651E" w14:textId="77777777" w:rsidR="007519B4" w:rsidRDefault="007519B4" w:rsidP="007519B4">
      <w:pPr>
        <w:pStyle w:val="a"/>
        <w:spacing w:before="120"/>
        <w:ind w:right="0"/>
        <w:rPr>
          <w:rFonts w:ascii="Angsana New" w:hAnsi="Angsana New"/>
          <w:b/>
          <w:bCs/>
          <w:sz w:val="30"/>
          <w:szCs w:val="30"/>
          <w:lang w:val="en-GB"/>
        </w:rPr>
      </w:pPr>
    </w:p>
    <w:p w14:paraId="051CF237" w14:textId="77777777" w:rsidR="007519B4" w:rsidRDefault="007519B4" w:rsidP="007519B4">
      <w:pPr>
        <w:pStyle w:val="a"/>
        <w:spacing w:before="120"/>
        <w:ind w:right="0"/>
        <w:rPr>
          <w:rFonts w:ascii="Angsana New" w:hAnsi="Angsana New"/>
          <w:b/>
          <w:bCs/>
          <w:sz w:val="30"/>
          <w:szCs w:val="30"/>
          <w:cs/>
          <w:lang w:val="en-GB"/>
        </w:rPr>
      </w:pPr>
    </w:p>
    <w:p w14:paraId="4284D1F1" w14:textId="77777777" w:rsidR="007519B4" w:rsidRDefault="007519B4" w:rsidP="007519B4">
      <w:pPr>
        <w:pStyle w:val="a"/>
        <w:spacing w:before="120"/>
        <w:ind w:right="0"/>
        <w:jc w:val="center"/>
        <w:rPr>
          <w:rFonts w:ascii="Angsana New" w:hAnsi="Angsana New"/>
          <w:b/>
          <w:bCs/>
          <w:sz w:val="30"/>
          <w:szCs w:val="30"/>
          <w:lang w:val="en-GB"/>
        </w:rPr>
      </w:pPr>
    </w:p>
    <w:p w14:paraId="5380D8D5" w14:textId="77777777" w:rsidR="00657954" w:rsidRPr="00EE0DEE" w:rsidRDefault="00657954" w:rsidP="00657954">
      <w:pPr>
        <w:spacing w:line="400" w:lineRule="exact"/>
        <w:ind w:left="-462" w:right="67" w:firstLine="1701"/>
        <w:rPr>
          <w:rFonts w:cs="Times New Roman"/>
          <w:b/>
          <w:bCs/>
          <w:sz w:val="21"/>
          <w:szCs w:val="21"/>
        </w:rPr>
      </w:pPr>
      <w:r w:rsidRPr="00EE0DEE">
        <w:rPr>
          <w:rFonts w:cs="Times New Roman"/>
          <w:b/>
          <w:bCs/>
          <w:sz w:val="21"/>
          <w:szCs w:val="21"/>
        </w:rPr>
        <w:t>TECHLEAD NPN PUBLIC COMPANY LIMITED AND IT’S SUBSIDIARIES</w:t>
      </w:r>
    </w:p>
    <w:p w14:paraId="110B5725" w14:textId="77777777" w:rsidR="00657954" w:rsidRPr="00EE0DEE" w:rsidRDefault="00657954" w:rsidP="00657954">
      <w:pPr>
        <w:spacing w:line="400" w:lineRule="exact"/>
        <w:ind w:left="519" w:right="67" w:firstLine="720"/>
        <w:rPr>
          <w:rFonts w:cs="Times New Roman"/>
          <w:b/>
          <w:bCs/>
          <w:sz w:val="21"/>
          <w:szCs w:val="21"/>
        </w:rPr>
      </w:pPr>
      <w:r w:rsidRPr="00EE0DEE">
        <w:rPr>
          <w:rFonts w:cs="Times New Roman"/>
          <w:b/>
          <w:bCs/>
          <w:sz w:val="21"/>
          <w:szCs w:val="21"/>
        </w:rPr>
        <w:t>(FORM</w:t>
      </w:r>
      <w:r w:rsidRPr="00EE0DEE">
        <w:rPr>
          <w:b/>
          <w:bCs/>
          <w:sz w:val="21"/>
          <w:szCs w:val="26"/>
        </w:rPr>
        <w:t>ER</w:t>
      </w:r>
      <w:r w:rsidRPr="00EE0DEE">
        <w:rPr>
          <w:rFonts w:cs="Times New Roman"/>
          <w:b/>
          <w:bCs/>
          <w:sz w:val="21"/>
          <w:szCs w:val="21"/>
        </w:rPr>
        <w:t>LY ETERNAL ENERGY PUBLIC COMPANY LIMITED)</w:t>
      </w:r>
    </w:p>
    <w:p w14:paraId="7B1AF244" w14:textId="77777777" w:rsidR="00657954" w:rsidRPr="00EE0DEE" w:rsidRDefault="00657954" w:rsidP="00657954">
      <w:pPr>
        <w:spacing w:line="400" w:lineRule="exact"/>
        <w:ind w:left="519" w:right="67" w:firstLine="720"/>
        <w:rPr>
          <w:rFonts w:cs="Times New Roman"/>
          <w:b/>
          <w:bCs/>
          <w:sz w:val="21"/>
          <w:szCs w:val="21"/>
        </w:rPr>
      </w:pPr>
      <w:r w:rsidRPr="00EE0DEE">
        <w:rPr>
          <w:rFonts w:cs="Times New Roman"/>
          <w:b/>
          <w:bCs/>
          <w:sz w:val="21"/>
          <w:szCs w:val="21"/>
        </w:rPr>
        <w:t>THE CONSOLIDATED AND SEPARATE FINANCIAL STATEMENTS</w:t>
      </w:r>
    </w:p>
    <w:p w14:paraId="211C0AD5" w14:textId="77777777" w:rsidR="00657954" w:rsidRDefault="00657954" w:rsidP="00657954">
      <w:pPr>
        <w:spacing w:line="400" w:lineRule="exact"/>
        <w:ind w:left="519" w:right="67" w:firstLine="720"/>
        <w:rPr>
          <w:rFonts w:cs="Times New Roman"/>
          <w:b/>
          <w:bCs/>
          <w:sz w:val="21"/>
          <w:szCs w:val="21"/>
        </w:rPr>
      </w:pPr>
      <w:r w:rsidRPr="00EE0DEE">
        <w:rPr>
          <w:rFonts w:cs="Times New Roman"/>
          <w:b/>
          <w:bCs/>
          <w:sz w:val="21"/>
          <w:szCs w:val="21"/>
        </w:rPr>
        <w:t>FOR THE YEAR ENDED DECEMBER 31, 202</w:t>
      </w:r>
      <w:r w:rsidRPr="00EE0DEE">
        <w:rPr>
          <w:rFonts w:cs="Times New Roman" w:hint="cs"/>
          <w:b/>
          <w:bCs/>
          <w:sz w:val="21"/>
          <w:szCs w:val="21"/>
          <w:cs/>
        </w:rPr>
        <w:t>5</w:t>
      </w:r>
    </w:p>
    <w:p w14:paraId="42783D5A" w14:textId="3B1EA13A" w:rsidR="007519B4" w:rsidRPr="00657954" w:rsidRDefault="00657954" w:rsidP="00657954">
      <w:pPr>
        <w:spacing w:line="400" w:lineRule="exact"/>
        <w:ind w:left="519" w:right="67" w:firstLine="720"/>
        <w:rPr>
          <w:rFonts w:cstheme="minorBidi"/>
          <w:b/>
          <w:bCs/>
          <w:sz w:val="21"/>
          <w:szCs w:val="21"/>
        </w:rPr>
      </w:pPr>
      <w:r w:rsidRPr="00EE0DEE">
        <w:rPr>
          <w:rFonts w:cs="Times New Roman"/>
          <w:b/>
          <w:bCs/>
          <w:sz w:val="21"/>
          <w:szCs w:val="21"/>
        </w:rPr>
        <w:t>AND INDEPENDENT AUDITOR’S REPORT</w:t>
      </w:r>
    </w:p>
    <w:p w14:paraId="19D67EB6" w14:textId="6CF1A07E" w:rsidR="007519B4" w:rsidRDefault="007519B4" w:rsidP="007519B4">
      <w:pPr>
        <w:pStyle w:val="a"/>
        <w:spacing w:before="120"/>
        <w:ind w:left="1985" w:right="0"/>
        <w:jc w:val="left"/>
        <w:rPr>
          <w:rFonts w:ascii="Angsana New" w:hAnsi="Angsana New"/>
          <w:sz w:val="32"/>
          <w:szCs w:val="32"/>
          <w:lang w:val="en-GB"/>
        </w:rPr>
      </w:pPr>
    </w:p>
    <w:p w14:paraId="0CA6FF95" w14:textId="77777777" w:rsidR="007519B4" w:rsidRPr="00192B44" w:rsidRDefault="007519B4" w:rsidP="007519B4">
      <w:pPr>
        <w:pStyle w:val="a"/>
        <w:spacing w:before="120"/>
        <w:ind w:left="1985" w:right="0"/>
        <w:jc w:val="left"/>
        <w:rPr>
          <w:rFonts w:ascii="Angsana New" w:hAnsi="Angsana New"/>
          <w:sz w:val="32"/>
          <w:szCs w:val="32"/>
          <w:lang w:val="en-GB"/>
        </w:rPr>
      </w:pPr>
    </w:p>
    <w:p w14:paraId="0D3AEA17" w14:textId="77777777" w:rsidR="007519B4" w:rsidRDefault="007519B4" w:rsidP="00093B26">
      <w:pPr>
        <w:spacing w:line="360" w:lineRule="auto"/>
        <w:jc w:val="thaiDistribute"/>
        <w:rPr>
          <w:rFonts w:ascii="Angsana New" w:eastAsia="Times New Roman" w:hAnsi="Angsana New" w:cs="Angsana New"/>
          <w:b/>
          <w:bCs/>
          <w:spacing w:val="-2"/>
          <w:sz w:val="28"/>
          <w:szCs w:val="28"/>
        </w:rPr>
      </w:pPr>
    </w:p>
    <w:p w14:paraId="4C3B972E" w14:textId="77777777" w:rsidR="005A7A67" w:rsidRPr="005A7A67" w:rsidRDefault="005A7A67" w:rsidP="005A7A67">
      <w:pPr>
        <w:rPr>
          <w:rFonts w:ascii="Angsana New" w:eastAsia="Times New Roman" w:hAnsi="Angsana New" w:cs="Angsana New"/>
          <w:sz w:val="28"/>
          <w:szCs w:val="28"/>
        </w:rPr>
      </w:pPr>
    </w:p>
    <w:p w14:paraId="64F9C309" w14:textId="77777777" w:rsidR="005A7A67" w:rsidRPr="005A7A67" w:rsidRDefault="005A7A67" w:rsidP="005A7A67">
      <w:pPr>
        <w:rPr>
          <w:rFonts w:ascii="Angsana New" w:eastAsia="Times New Roman" w:hAnsi="Angsana New" w:cs="Angsana New"/>
          <w:sz w:val="28"/>
          <w:szCs w:val="28"/>
        </w:rPr>
      </w:pPr>
    </w:p>
    <w:p w14:paraId="3701AD25" w14:textId="77777777" w:rsidR="005A7A67" w:rsidRPr="005A7A67" w:rsidRDefault="005A7A67" w:rsidP="005A7A67">
      <w:pPr>
        <w:rPr>
          <w:rFonts w:ascii="Angsana New" w:eastAsia="Times New Roman" w:hAnsi="Angsana New" w:cs="Angsana New"/>
          <w:sz w:val="28"/>
          <w:szCs w:val="28"/>
        </w:rPr>
      </w:pPr>
    </w:p>
    <w:p w14:paraId="28C324E1" w14:textId="77777777" w:rsidR="005A7A67" w:rsidRPr="005A7A67" w:rsidRDefault="005A7A67" w:rsidP="005A7A67">
      <w:pPr>
        <w:rPr>
          <w:rFonts w:ascii="Angsana New" w:eastAsia="Times New Roman" w:hAnsi="Angsana New" w:cs="Angsana New"/>
          <w:sz w:val="28"/>
          <w:szCs w:val="28"/>
        </w:rPr>
      </w:pPr>
    </w:p>
    <w:p w14:paraId="4E31CC0E" w14:textId="77777777" w:rsidR="005A7A67" w:rsidRPr="005A7A67" w:rsidRDefault="005A7A67" w:rsidP="005A7A67">
      <w:pPr>
        <w:rPr>
          <w:rFonts w:ascii="Angsana New" w:eastAsia="Times New Roman" w:hAnsi="Angsana New" w:cs="Angsana New"/>
          <w:sz w:val="28"/>
          <w:szCs w:val="28"/>
        </w:rPr>
      </w:pPr>
    </w:p>
    <w:p w14:paraId="072DAA05" w14:textId="77777777" w:rsidR="005A7A67" w:rsidRPr="005A7A67" w:rsidRDefault="005A7A67" w:rsidP="005A7A67">
      <w:pPr>
        <w:rPr>
          <w:rFonts w:ascii="Angsana New" w:eastAsia="Times New Roman" w:hAnsi="Angsana New" w:cs="Angsana New"/>
          <w:sz w:val="28"/>
          <w:szCs w:val="28"/>
        </w:rPr>
      </w:pPr>
    </w:p>
    <w:p w14:paraId="1D217327" w14:textId="77777777" w:rsidR="005A7A67" w:rsidRPr="005A7A67" w:rsidRDefault="005A7A67" w:rsidP="005A7A67">
      <w:pPr>
        <w:rPr>
          <w:rFonts w:ascii="Angsana New" w:eastAsia="Times New Roman" w:hAnsi="Angsana New" w:cs="Angsana New"/>
          <w:sz w:val="28"/>
          <w:szCs w:val="28"/>
        </w:rPr>
      </w:pPr>
    </w:p>
    <w:p w14:paraId="1390E8DF" w14:textId="77777777" w:rsidR="005A7A67" w:rsidRPr="005A7A67" w:rsidRDefault="005A7A67" w:rsidP="005A7A67">
      <w:pPr>
        <w:rPr>
          <w:rFonts w:ascii="Angsana New" w:eastAsia="Times New Roman" w:hAnsi="Angsana New" w:cs="Angsana New"/>
          <w:sz w:val="28"/>
          <w:szCs w:val="28"/>
        </w:rPr>
      </w:pPr>
    </w:p>
    <w:p w14:paraId="425A26FB" w14:textId="77777777" w:rsidR="005A7A67" w:rsidRPr="005A7A67" w:rsidRDefault="005A7A67" w:rsidP="005A7A67">
      <w:pPr>
        <w:rPr>
          <w:rFonts w:ascii="Angsana New" w:eastAsia="Times New Roman" w:hAnsi="Angsana New" w:cs="Angsana New"/>
          <w:sz w:val="28"/>
          <w:szCs w:val="28"/>
        </w:rPr>
      </w:pPr>
    </w:p>
    <w:p w14:paraId="7A251162" w14:textId="77777777" w:rsidR="005A7A67" w:rsidRPr="005A7A67" w:rsidRDefault="005A7A67" w:rsidP="005A7A67">
      <w:pPr>
        <w:rPr>
          <w:rFonts w:ascii="Angsana New" w:eastAsia="Times New Roman" w:hAnsi="Angsana New" w:cs="Angsana New"/>
          <w:sz w:val="28"/>
          <w:szCs w:val="28"/>
        </w:rPr>
      </w:pPr>
    </w:p>
    <w:p w14:paraId="044E976A" w14:textId="77777777" w:rsidR="005A7A67" w:rsidRPr="005A7A67" w:rsidRDefault="005A7A67" w:rsidP="005A7A67">
      <w:pPr>
        <w:rPr>
          <w:rFonts w:ascii="Angsana New" w:eastAsia="Times New Roman" w:hAnsi="Angsana New" w:cs="Angsana New"/>
          <w:sz w:val="28"/>
          <w:szCs w:val="28"/>
        </w:rPr>
      </w:pPr>
    </w:p>
    <w:p w14:paraId="422A4D7F" w14:textId="77777777" w:rsidR="005A7A67" w:rsidRPr="005A7A67" w:rsidRDefault="005A7A67" w:rsidP="005A7A67">
      <w:pPr>
        <w:jc w:val="center"/>
        <w:rPr>
          <w:rFonts w:ascii="Angsana New" w:eastAsia="Times New Roman" w:hAnsi="Angsana New" w:cs="Angsana New"/>
          <w:sz w:val="28"/>
          <w:szCs w:val="28"/>
        </w:rPr>
      </w:pPr>
    </w:p>
    <w:p w14:paraId="5173438B" w14:textId="77777777" w:rsidR="005A7A67" w:rsidRPr="005A7A67" w:rsidRDefault="005A7A67" w:rsidP="005A7A67">
      <w:pPr>
        <w:rPr>
          <w:rFonts w:ascii="Angsana New" w:eastAsia="Times New Roman" w:hAnsi="Angsana New" w:cs="Angsana New"/>
          <w:sz w:val="28"/>
          <w:szCs w:val="28"/>
        </w:rPr>
      </w:pPr>
    </w:p>
    <w:p w14:paraId="020BE44B" w14:textId="77777777" w:rsidR="005A7A67" w:rsidRPr="005A7A67" w:rsidRDefault="005A7A67" w:rsidP="005A7A67">
      <w:pPr>
        <w:rPr>
          <w:rFonts w:ascii="Angsana New" w:eastAsia="Times New Roman" w:hAnsi="Angsana New" w:cs="Angsana New"/>
          <w:sz w:val="28"/>
          <w:szCs w:val="28"/>
        </w:rPr>
      </w:pPr>
    </w:p>
    <w:p w14:paraId="7F7AFAFF" w14:textId="77777777" w:rsidR="005A7A67" w:rsidRPr="005A7A67" w:rsidRDefault="005A7A67" w:rsidP="005A7A67">
      <w:pPr>
        <w:rPr>
          <w:rFonts w:ascii="Angsana New" w:eastAsia="Times New Roman" w:hAnsi="Angsana New" w:cs="Angsana New"/>
          <w:sz w:val="28"/>
          <w:szCs w:val="28"/>
        </w:rPr>
      </w:pPr>
    </w:p>
    <w:p w14:paraId="010579BF" w14:textId="77777777" w:rsidR="005A7A67" w:rsidRPr="005A7A67" w:rsidRDefault="005A7A67" w:rsidP="005A7A67">
      <w:pPr>
        <w:rPr>
          <w:rFonts w:ascii="Angsana New" w:eastAsia="Times New Roman" w:hAnsi="Angsana New" w:cs="Angsana New"/>
          <w:sz w:val="28"/>
          <w:szCs w:val="28"/>
        </w:rPr>
      </w:pPr>
    </w:p>
    <w:p w14:paraId="3B81C980" w14:textId="77777777" w:rsidR="005A7A67" w:rsidRPr="005A7A67" w:rsidRDefault="005A7A67" w:rsidP="005A7A67">
      <w:pPr>
        <w:rPr>
          <w:rFonts w:ascii="Angsana New" w:eastAsia="Times New Roman" w:hAnsi="Angsana New" w:cs="Angsana New"/>
          <w:sz w:val="28"/>
          <w:szCs w:val="28"/>
        </w:rPr>
      </w:pPr>
    </w:p>
    <w:p w14:paraId="36FC6281" w14:textId="77777777" w:rsidR="005A7A67" w:rsidRPr="005A7A67" w:rsidRDefault="005A7A67" w:rsidP="005A7A67">
      <w:pPr>
        <w:rPr>
          <w:rFonts w:ascii="Angsana New" w:eastAsia="Times New Roman" w:hAnsi="Angsana New" w:cs="Angsana New"/>
          <w:sz w:val="28"/>
          <w:szCs w:val="28"/>
        </w:rPr>
      </w:pPr>
    </w:p>
    <w:p w14:paraId="5A0FFFFE" w14:textId="77777777" w:rsidR="005A7A67" w:rsidRPr="005A7A67" w:rsidRDefault="005A7A67" w:rsidP="005A7A67">
      <w:pPr>
        <w:rPr>
          <w:rFonts w:ascii="Angsana New" w:eastAsia="Times New Roman" w:hAnsi="Angsana New" w:cs="Angsana New"/>
          <w:sz w:val="28"/>
          <w:szCs w:val="28"/>
        </w:rPr>
      </w:pPr>
    </w:p>
    <w:p w14:paraId="5138C253" w14:textId="77777777" w:rsidR="005A7A67" w:rsidRDefault="005A7A67" w:rsidP="005A7A67">
      <w:pPr>
        <w:rPr>
          <w:rFonts w:ascii="Angsana New" w:eastAsia="Times New Roman" w:hAnsi="Angsana New" w:cs="Angsana New"/>
          <w:sz w:val="28"/>
          <w:szCs w:val="28"/>
        </w:rPr>
      </w:pPr>
    </w:p>
    <w:p w14:paraId="0504B61A" w14:textId="77777777" w:rsidR="00D505C9" w:rsidRPr="00D505C9" w:rsidRDefault="00D505C9" w:rsidP="005A7A67">
      <w:pPr>
        <w:rPr>
          <w:rFonts w:ascii="Angsana New" w:eastAsia="Times New Roman" w:hAnsi="Angsana New" w:cs="Angsana New"/>
          <w:sz w:val="28"/>
          <w:szCs w:val="28"/>
        </w:rPr>
        <w:sectPr w:rsidR="00D505C9" w:rsidRPr="00D505C9" w:rsidSect="00D04B59">
          <w:footerReference w:type="default" r:id="rId8"/>
          <w:pgSz w:w="11907" w:h="16840"/>
          <w:pgMar w:top="1843" w:right="1138" w:bottom="893" w:left="1555" w:header="893" w:footer="720" w:gutter="0"/>
          <w:pgNumType w:start="1"/>
          <w:cols w:space="720"/>
          <w:noEndnote/>
          <w:titlePg/>
          <w:docGrid w:linePitch="245"/>
        </w:sectPr>
      </w:pPr>
    </w:p>
    <w:p w14:paraId="711B59AD" w14:textId="6B87F88D" w:rsidR="009C6304" w:rsidRDefault="006C539E" w:rsidP="00CD1C29">
      <w:pPr>
        <w:spacing w:before="120"/>
        <w:jc w:val="thaiDistribute"/>
        <w:rPr>
          <w:rFonts w:ascii="Angsana New" w:eastAsia="Times New Roman" w:hAnsi="Angsana New" w:cs="Angsana New"/>
          <w:b/>
          <w:bCs/>
          <w:color w:val="auto"/>
          <w:sz w:val="28"/>
          <w:szCs w:val="28"/>
          <w:cs/>
          <w:lang w:val="en-GB"/>
        </w:rPr>
      </w:pPr>
      <w:r>
        <w:rPr>
          <w:noProof/>
        </w:rPr>
        <w:lastRenderedPageBreak/>
        <w:drawing>
          <wp:anchor distT="0" distB="0" distL="114300" distR="114300" simplePos="0" relativeHeight="251659264" behindDoc="1" locked="0" layoutInCell="1" allowOverlap="1" wp14:anchorId="137E683C" wp14:editId="06D31854">
            <wp:simplePos x="0" y="0"/>
            <wp:positionH relativeFrom="column">
              <wp:posOffset>4386580</wp:posOffset>
            </wp:positionH>
            <wp:positionV relativeFrom="paragraph">
              <wp:posOffset>-439696</wp:posOffset>
            </wp:positionV>
            <wp:extent cx="1640205" cy="1600200"/>
            <wp:effectExtent l="0" t="0" r="0" b="0"/>
            <wp:wrapNone/>
            <wp:docPr id="1220407541" name="Picture 1" descr="A close up of a business card&#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close up of a business card&#10;&#10;AI-generated content may be incorrect."/>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2846">
        <w:rPr>
          <w:noProof/>
        </w:rPr>
        <w:drawing>
          <wp:anchor distT="0" distB="0" distL="114300" distR="114300" simplePos="0" relativeHeight="251663360" behindDoc="1" locked="0" layoutInCell="1" allowOverlap="1" wp14:anchorId="28502B4B" wp14:editId="499B16D0">
            <wp:simplePos x="0" y="0"/>
            <wp:positionH relativeFrom="column">
              <wp:posOffset>-2540</wp:posOffset>
            </wp:positionH>
            <wp:positionV relativeFrom="paragraph">
              <wp:posOffset>-332105</wp:posOffset>
            </wp:positionV>
            <wp:extent cx="947420" cy="329565"/>
            <wp:effectExtent l="0" t="0" r="5080" b="0"/>
            <wp:wrapNone/>
            <wp:docPr id="2118407635" name="Picture 2118407635" descr="A yellow logo with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47420" cy="329565"/>
                    </a:xfrm>
                    <a:prstGeom prst="rect">
                      <a:avLst/>
                    </a:prstGeom>
                    <a:noFill/>
                    <a:ln>
                      <a:noFill/>
                    </a:ln>
                  </pic:spPr>
                </pic:pic>
              </a:graphicData>
            </a:graphic>
          </wp:anchor>
        </w:drawing>
      </w:r>
    </w:p>
    <w:p w14:paraId="49111A29" w14:textId="563C3D59" w:rsidR="006C539E" w:rsidRDefault="006C539E" w:rsidP="00CD1C29">
      <w:pPr>
        <w:spacing w:before="120"/>
        <w:jc w:val="thaiDistribute"/>
        <w:rPr>
          <w:rFonts w:ascii="Angsana New" w:eastAsia="Times New Roman" w:hAnsi="Angsana New" w:cs="Angsana New"/>
          <w:b/>
          <w:bCs/>
          <w:color w:val="auto"/>
          <w:sz w:val="28"/>
          <w:szCs w:val="28"/>
          <w:lang w:val="en-GB"/>
        </w:rPr>
      </w:pPr>
    </w:p>
    <w:p w14:paraId="45B27C7F" w14:textId="1DA578F9" w:rsidR="006C539E" w:rsidRDefault="006C539E" w:rsidP="00CD1C29">
      <w:pPr>
        <w:spacing w:before="120"/>
        <w:jc w:val="thaiDistribute"/>
        <w:rPr>
          <w:rFonts w:ascii="Angsana New" w:eastAsia="Times New Roman" w:hAnsi="Angsana New" w:cs="Angsana New"/>
          <w:b/>
          <w:bCs/>
          <w:color w:val="auto"/>
          <w:sz w:val="28"/>
          <w:szCs w:val="28"/>
          <w:cs/>
          <w:lang w:val="en-GB"/>
        </w:rPr>
      </w:pPr>
    </w:p>
    <w:p w14:paraId="01ED4F89" w14:textId="77777777" w:rsidR="00657954" w:rsidRPr="00EE0DEE" w:rsidRDefault="00657954" w:rsidP="00657954">
      <w:pPr>
        <w:pStyle w:val="ps-000-normal"/>
        <w:spacing w:line="340" w:lineRule="exact"/>
        <w:jc w:val="thaiDistribute"/>
        <w:rPr>
          <w:rFonts w:asciiTheme="majorBidi" w:hAnsiTheme="majorBidi" w:cstheme="majorBidi"/>
          <w:b/>
          <w:bCs/>
          <w:spacing w:val="-2"/>
          <w:sz w:val="28"/>
          <w:szCs w:val="28"/>
        </w:rPr>
      </w:pPr>
      <w:r w:rsidRPr="00EE0DEE">
        <w:rPr>
          <w:rFonts w:asciiTheme="majorBidi" w:hAnsiTheme="majorBidi" w:cstheme="majorBidi"/>
          <w:b/>
          <w:bCs/>
          <w:spacing w:val="-2"/>
          <w:sz w:val="28"/>
          <w:szCs w:val="28"/>
        </w:rPr>
        <w:t>Independent Auditor's Report</w:t>
      </w:r>
    </w:p>
    <w:p w14:paraId="0810DD77" w14:textId="77777777" w:rsidR="00657954" w:rsidRPr="00EE0DEE" w:rsidRDefault="00657954" w:rsidP="00657954">
      <w:pPr>
        <w:pStyle w:val="ps-000-normal"/>
        <w:spacing w:line="340" w:lineRule="exact"/>
        <w:jc w:val="thaiDistribute"/>
        <w:rPr>
          <w:rFonts w:asciiTheme="majorBidi" w:hAnsiTheme="majorBidi" w:cstheme="majorBidi"/>
          <w:spacing w:val="-2"/>
          <w:sz w:val="28"/>
          <w:szCs w:val="28"/>
        </w:rPr>
      </w:pPr>
      <w:r w:rsidRPr="00EE0DEE">
        <w:rPr>
          <w:rFonts w:asciiTheme="majorBidi" w:hAnsiTheme="majorBidi" w:cstheme="majorBidi"/>
          <w:spacing w:val="-2"/>
          <w:sz w:val="28"/>
          <w:szCs w:val="28"/>
        </w:rPr>
        <w:t>To</w:t>
      </w:r>
      <w:r w:rsidRPr="00EE0DEE">
        <w:rPr>
          <w:rFonts w:asciiTheme="majorBidi" w:hAnsiTheme="majorBidi" w:cstheme="majorBidi" w:hint="cs"/>
          <w:spacing w:val="-2"/>
          <w:sz w:val="28"/>
          <w:szCs w:val="28"/>
          <w:cs/>
        </w:rPr>
        <w:t xml:space="preserve">  </w:t>
      </w:r>
      <w:r w:rsidRPr="00EE0DEE">
        <w:rPr>
          <w:rFonts w:asciiTheme="majorBidi" w:hAnsiTheme="majorBidi" w:cstheme="majorBidi"/>
          <w:spacing w:val="-2"/>
          <w:sz w:val="28"/>
          <w:szCs w:val="28"/>
        </w:rPr>
        <w:t xml:space="preserve"> the Shareholders of Techlead NPN Public Company Limited</w:t>
      </w:r>
    </w:p>
    <w:p w14:paraId="7CB43544" w14:textId="0A0CD589" w:rsidR="00657954" w:rsidRDefault="00657954" w:rsidP="00657954">
      <w:pPr>
        <w:spacing w:before="120"/>
        <w:jc w:val="thaiDistribute"/>
        <w:rPr>
          <w:rFonts w:ascii="Angsana New" w:eastAsia="Times New Roman" w:hAnsi="Angsana New" w:cs="Angsana New"/>
          <w:b/>
          <w:bCs/>
          <w:color w:val="auto"/>
          <w:sz w:val="28"/>
          <w:szCs w:val="28"/>
        </w:rPr>
      </w:pPr>
      <w:r w:rsidRPr="00EE0DEE">
        <w:rPr>
          <w:rFonts w:asciiTheme="majorBidi" w:hAnsiTheme="majorBidi" w:cstheme="majorBidi" w:hint="cs"/>
          <w:spacing w:val="-2"/>
          <w:sz w:val="28"/>
          <w:szCs w:val="28"/>
          <w:cs/>
        </w:rPr>
        <w:t xml:space="preserve">      </w:t>
      </w:r>
      <w:r w:rsidRPr="00EE0DEE">
        <w:rPr>
          <w:rFonts w:asciiTheme="majorBidi" w:hAnsiTheme="majorBidi" w:cstheme="majorBidi"/>
          <w:spacing w:val="-2"/>
          <w:sz w:val="28"/>
          <w:szCs w:val="28"/>
        </w:rPr>
        <w:t>(Formerly Eternal Energy Public Company Limited)</w:t>
      </w:r>
    </w:p>
    <w:p w14:paraId="45AE8FE4" w14:textId="74C67645" w:rsidR="00CD1C29" w:rsidRPr="00CD1C29" w:rsidRDefault="00CD1C29" w:rsidP="004E222A">
      <w:pPr>
        <w:spacing w:before="120"/>
        <w:jc w:val="thaiDistribute"/>
        <w:rPr>
          <w:rFonts w:ascii="Angsana New" w:eastAsia="Times New Roman" w:hAnsi="Angsana New" w:cs="Angsana New"/>
          <w:b/>
          <w:bCs/>
          <w:color w:val="auto"/>
          <w:sz w:val="28"/>
          <w:szCs w:val="28"/>
        </w:rPr>
      </w:pPr>
      <w:r w:rsidRPr="00CD1C29">
        <w:rPr>
          <w:rFonts w:ascii="Angsana New" w:eastAsia="Times New Roman" w:hAnsi="Angsana New" w:cs="Angsana New"/>
          <w:b/>
          <w:bCs/>
          <w:color w:val="auto"/>
          <w:sz w:val="28"/>
          <w:szCs w:val="28"/>
        </w:rPr>
        <w:t>Opinion</w:t>
      </w:r>
    </w:p>
    <w:p w14:paraId="5C0E5115" w14:textId="77777777" w:rsidR="00657954" w:rsidRPr="00EE0DEE" w:rsidRDefault="00657954" w:rsidP="00657954">
      <w:pPr>
        <w:pStyle w:val="ps-000-normal"/>
        <w:spacing w:before="12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I have audited the consolidated financial statements of Techlead NPN Public Company Limited and its subsidiaries (the Group) and the separate financial statements of Techlead NPN Public Company Limited (the Company), which comprise the consolidated and separate statements of financial position as at December 31, 2025, and the</w:t>
      </w:r>
      <w:r w:rsidRPr="00EE0DEE">
        <w:rPr>
          <w:rFonts w:asciiTheme="majorBidi" w:hAnsiTheme="majorBidi" w:cstheme="majorBidi" w:hint="cs"/>
          <w:spacing w:val="-4"/>
          <w:sz w:val="28"/>
          <w:szCs w:val="28"/>
          <w:cs/>
        </w:rPr>
        <w:t xml:space="preserve"> </w:t>
      </w:r>
      <w:r w:rsidRPr="00EE0DEE">
        <w:rPr>
          <w:rFonts w:asciiTheme="majorBidi" w:hAnsiTheme="majorBidi" w:cstheme="majorBidi"/>
          <w:spacing w:val="-4"/>
          <w:sz w:val="28"/>
          <w:szCs w:val="28"/>
        </w:rPr>
        <w:t>consolidated and separate statements of comprehensive income, changes in shareholders’ equity and cash flows for the year then ended, and notes to the consolidated financial statements and notes to the separate financial statements, including a summary of significant accounting policies.</w:t>
      </w:r>
    </w:p>
    <w:p w14:paraId="2C49887E" w14:textId="77777777" w:rsidR="00657954" w:rsidRPr="00EE0DEE" w:rsidRDefault="00657954" w:rsidP="00657954">
      <w:pPr>
        <w:pStyle w:val="ps-000-normal"/>
        <w:spacing w:before="12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In my opinion, the consolidated and separate financial statements referred to above present fairly, in all material respects, the financial position of the Group and the Company as at December 31, 2025, their financial performance and cash flows for the year then ended   in accordance with Thai Financial Reporting Standards.</w:t>
      </w:r>
    </w:p>
    <w:p w14:paraId="67F114F8" w14:textId="77777777" w:rsidR="00CD1C29" w:rsidRPr="00CD1C29" w:rsidRDefault="00CD1C29" w:rsidP="009D1D96">
      <w:pPr>
        <w:spacing w:before="240" w:after="120"/>
        <w:jc w:val="thaiDistribute"/>
        <w:rPr>
          <w:rFonts w:ascii="Angsana New" w:eastAsia="Times New Roman" w:hAnsi="Angsana New" w:cs="Angsana New"/>
          <w:b/>
          <w:bCs/>
          <w:color w:val="auto"/>
          <w:sz w:val="28"/>
          <w:szCs w:val="28"/>
          <w:cs/>
        </w:rPr>
      </w:pPr>
      <w:r w:rsidRPr="00CD1C29">
        <w:rPr>
          <w:rFonts w:ascii="Angsana New" w:eastAsia="Times New Roman" w:hAnsi="Angsana New" w:cs="Angsana New"/>
          <w:b/>
          <w:bCs/>
          <w:color w:val="auto"/>
          <w:sz w:val="28"/>
          <w:szCs w:val="28"/>
        </w:rPr>
        <w:t xml:space="preserve">Basis for Opinion </w:t>
      </w:r>
    </w:p>
    <w:p w14:paraId="41A7708C" w14:textId="77777777" w:rsidR="00657954" w:rsidRPr="00EE0DEE" w:rsidRDefault="00657954" w:rsidP="00657954">
      <w:pPr>
        <w:pStyle w:val="ps-000-normal"/>
        <w:spacing w:before="12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7FD4A603" w14:textId="3693131D" w:rsidR="002C7FC9" w:rsidRPr="00604F94" w:rsidRDefault="002C7FC9" w:rsidP="002C7FC9">
      <w:pPr>
        <w:spacing w:before="240" w:after="120"/>
        <w:rPr>
          <w:rFonts w:ascii="Angsana New" w:hAnsi="Angsana New"/>
          <w:b/>
          <w:bCs/>
          <w:sz w:val="28"/>
          <w:cs/>
        </w:rPr>
      </w:pPr>
      <w:r w:rsidRPr="00604F94">
        <w:rPr>
          <w:rFonts w:ascii="Angsana New" w:hAnsi="Angsana New"/>
          <w:b/>
          <w:bCs/>
          <w:sz w:val="28"/>
        </w:rPr>
        <w:t>Key Audit Matters</w:t>
      </w:r>
    </w:p>
    <w:p w14:paraId="163EFE87" w14:textId="77777777" w:rsidR="00657954" w:rsidRPr="00EE0DEE" w:rsidRDefault="00657954" w:rsidP="00657954">
      <w:pPr>
        <w:pStyle w:val="ps-000-normal"/>
        <w:spacing w:before="12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p>
    <w:p w14:paraId="22AF715F" w14:textId="3F9D0947" w:rsidR="006C1E65" w:rsidRDefault="006C1E65" w:rsidP="002C7FC9">
      <w:pPr>
        <w:jc w:val="thaiDistribute"/>
        <w:rPr>
          <w:rFonts w:ascii="Angsana New" w:hAnsi="Angsana New"/>
          <w:sz w:val="28"/>
        </w:rPr>
      </w:pPr>
    </w:p>
    <w:p w14:paraId="0679B260" w14:textId="05BCCE97" w:rsidR="006C1E65" w:rsidRDefault="006C1E65" w:rsidP="002C7FC9">
      <w:pPr>
        <w:jc w:val="thaiDistribute"/>
        <w:rPr>
          <w:rFonts w:ascii="Angsana New" w:hAnsi="Angsana New"/>
          <w:sz w:val="28"/>
        </w:rPr>
      </w:pPr>
    </w:p>
    <w:p w14:paraId="374E35CC" w14:textId="4E729CC3" w:rsidR="006C1E65" w:rsidRDefault="006C1E65" w:rsidP="002C7FC9">
      <w:pPr>
        <w:jc w:val="thaiDistribute"/>
        <w:rPr>
          <w:rFonts w:ascii="Angsana New" w:hAnsi="Angsana New"/>
          <w:sz w:val="28"/>
        </w:rPr>
      </w:pPr>
    </w:p>
    <w:p w14:paraId="1DF4D3E3" w14:textId="54716648" w:rsidR="006C1E65" w:rsidRDefault="006C1E65" w:rsidP="002C7FC9">
      <w:pPr>
        <w:jc w:val="thaiDistribute"/>
        <w:rPr>
          <w:rFonts w:ascii="Angsana New" w:hAnsi="Angsana New"/>
          <w:sz w:val="28"/>
        </w:rPr>
      </w:pPr>
    </w:p>
    <w:p w14:paraId="1D6DC88D" w14:textId="17B38E62" w:rsidR="006C1E65" w:rsidRDefault="006C1E65" w:rsidP="002C7FC9">
      <w:pPr>
        <w:jc w:val="thaiDistribute"/>
        <w:rPr>
          <w:rFonts w:ascii="Angsana New" w:hAnsi="Angsana New"/>
          <w:sz w:val="28"/>
        </w:rPr>
      </w:pPr>
    </w:p>
    <w:p w14:paraId="110988A5" w14:textId="35CBCA2E" w:rsidR="006C1E65" w:rsidRDefault="006C1E65" w:rsidP="002C7FC9">
      <w:pPr>
        <w:jc w:val="thaiDistribute"/>
        <w:rPr>
          <w:rFonts w:ascii="Angsana New" w:hAnsi="Angsana New"/>
          <w:sz w:val="28"/>
        </w:rPr>
      </w:pPr>
    </w:p>
    <w:p w14:paraId="07D561B9" w14:textId="6F7809D8" w:rsidR="006C1E65" w:rsidRDefault="00B4504E" w:rsidP="00B4504E">
      <w:pPr>
        <w:spacing w:after="160" w:line="259" w:lineRule="auto"/>
        <w:rPr>
          <w:rFonts w:ascii="Angsana New" w:hAnsi="Angsana New"/>
          <w:sz w:val="28"/>
        </w:rPr>
      </w:pPr>
      <w:r>
        <w:rPr>
          <w:rFonts w:ascii="Angsana New" w:hAnsi="Angsana New"/>
          <w:sz w:val="28"/>
        </w:rPr>
        <w:br w:type="page"/>
      </w:r>
    </w:p>
    <w:p w14:paraId="60A1C8FF" w14:textId="66416D0A" w:rsidR="00D505C9" w:rsidRPr="008E0F79" w:rsidRDefault="006C539E" w:rsidP="006C539E">
      <w:pPr>
        <w:pStyle w:val="Default"/>
        <w:spacing w:before="120" w:after="240"/>
        <w:jc w:val="center"/>
        <w:rPr>
          <w:rFonts w:ascii="Angsana New" w:hAnsi="Angsana New" w:cs="Angsana New"/>
          <w:spacing w:val="2"/>
          <w:sz w:val="28"/>
          <w:szCs w:val="28"/>
          <w:cs/>
        </w:rPr>
      </w:pPr>
      <w:r>
        <w:rPr>
          <w:rFonts w:ascii="Angsana New" w:hAnsi="Angsana New" w:cs="Angsana New"/>
          <w:noProof/>
          <w:spacing w:val="2"/>
          <w:sz w:val="28"/>
          <w:szCs w:val="28"/>
        </w:rPr>
        <w:lastRenderedPageBreak/>
        <w:drawing>
          <wp:anchor distT="0" distB="0" distL="114300" distR="114300" simplePos="0" relativeHeight="251664384" behindDoc="1" locked="0" layoutInCell="1" allowOverlap="1" wp14:anchorId="526A6B27" wp14:editId="2C25BE1A">
            <wp:simplePos x="0" y="0"/>
            <wp:positionH relativeFrom="column">
              <wp:posOffset>-10215</wp:posOffset>
            </wp:positionH>
            <wp:positionV relativeFrom="paragraph">
              <wp:posOffset>-330835</wp:posOffset>
            </wp:positionV>
            <wp:extent cx="951230" cy="328930"/>
            <wp:effectExtent l="0" t="0" r="1270" b="0"/>
            <wp:wrapNone/>
            <wp:docPr id="20185268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D505C9" w:rsidRPr="008E0F79">
        <w:rPr>
          <w:rFonts w:ascii="Angsana New" w:hAnsi="Angsana New" w:cs="Angsana New" w:hint="cs"/>
          <w:spacing w:val="2"/>
          <w:sz w:val="28"/>
          <w:szCs w:val="28"/>
          <w:cs/>
        </w:rPr>
        <w:t xml:space="preserve">- </w:t>
      </w:r>
      <w:r w:rsidR="00D505C9" w:rsidRPr="008E0F79">
        <w:rPr>
          <w:rFonts w:ascii="Angsana New" w:hAnsi="Angsana New" w:cs="Angsana New" w:hint="cs"/>
          <w:spacing w:val="2"/>
          <w:sz w:val="28"/>
          <w:szCs w:val="28"/>
        </w:rPr>
        <w:t>2</w:t>
      </w:r>
      <w:r w:rsidR="00D505C9" w:rsidRPr="008E0F79">
        <w:rPr>
          <w:rFonts w:ascii="Angsana New" w:hAnsi="Angsana New" w:cs="Angsana New" w:hint="cs"/>
          <w:spacing w:val="2"/>
          <w:sz w:val="28"/>
          <w:szCs w:val="28"/>
          <w: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4693"/>
      </w:tblGrid>
      <w:tr w:rsidR="00657954" w:rsidRPr="00716195" w14:paraId="586EE83E" w14:textId="77777777" w:rsidTr="00204A0E">
        <w:trPr>
          <w:trHeight w:val="283"/>
        </w:trPr>
        <w:tc>
          <w:tcPr>
            <w:tcW w:w="4682" w:type="dxa"/>
            <w:vAlign w:val="center"/>
          </w:tcPr>
          <w:p w14:paraId="1205B148" w14:textId="77777777" w:rsidR="00657954" w:rsidRPr="00FD6CA3" w:rsidRDefault="00657954" w:rsidP="00657954">
            <w:pPr>
              <w:jc w:val="center"/>
              <w:rPr>
                <w:rFonts w:ascii="Angsana New" w:hAnsi="Angsana New"/>
                <w:sz w:val="28"/>
              </w:rPr>
            </w:pPr>
            <w:r w:rsidRPr="00FD6CA3">
              <w:rPr>
                <w:rFonts w:ascii="Angsana New" w:eastAsia="Arial" w:hAnsi="Angsana New"/>
                <w:b/>
                <w:bCs/>
                <w:sz w:val="28"/>
              </w:rPr>
              <w:t>Key Audit Matters</w:t>
            </w:r>
          </w:p>
        </w:tc>
        <w:tc>
          <w:tcPr>
            <w:tcW w:w="4693" w:type="dxa"/>
          </w:tcPr>
          <w:p w14:paraId="7F6ECB01" w14:textId="5D19C91D" w:rsidR="00657954" w:rsidRPr="00FD6CA3" w:rsidRDefault="00657954" w:rsidP="00657954">
            <w:pPr>
              <w:jc w:val="center"/>
              <w:rPr>
                <w:rFonts w:ascii="Angsana New" w:hAnsi="Angsana New"/>
                <w:sz w:val="28"/>
              </w:rPr>
            </w:pPr>
            <w:r w:rsidRPr="00EE0DEE">
              <w:rPr>
                <w:rFonts w:asciiTheme="majorBidi" w:hAnsiTheme="majorBidi" w:cstheme="majorBidi"/>
                <w:b/>
                <w:bCs/>
                <w:spacing w:val="-2"/>
                <w:sz w:val="28"/>
                <w:szCs w:val="28"/>
              </w:rPr>
              <w:t>How my audit addressed the key audit matter</w:t>
            </w:r>
          </w:p>
        </w:tc>
      </w:tr>
      <w:tr w:rsidR="00657954" w:rsidRPr="00861C1A" w14:paraId="254FCE02" w14:textId="77777777" w:rsidTr="00D505C9">
        <w:tc>
          <w:tcPr>
            <w:tcW w:w="4682" w:type="dxa"/>
          </w:tcPr>
          <w:p w14:paraId="6827D678" w14:textId="77777777" w:rsidR="00657954" w:rsidRPr="00EE0DEE" w:rsidRDefault="00657954" w:rsidP="00657954">
            <w:pPr>
              <w:pStyle w:val="ps-000-normal"/>
              <w:spacing w:before="120" w:after="0" w:line="340" w:lineRule="exact"/>
              <w:jc w:val="thaiDistribute"/>
              <w:rPr>
                <w:rFonts w:asciiTheme="majorBidi" w:hAnsiTheme="majorBidi" w:cstheme="majorBidi"/>
                <w:b/>
                <w:bCs/>
                <w:color w:val="auto"/>
                <w:spacing w:val="-4"/>
                <w:sz w:val="28"/>
                <w:szCs w:val="28"/>
                <w:u w:val="single"/>
              </w:rPr>
            </w:pPr>
            <w:r w:rsidRPr="00EE0DEE">
              <w:rPr>
                <w:rFonts w:asciiTheme="majorBidi" w:hAnsiTheme="majorBidi" w:cstheme="majorBidi"/>
                <w:b/>
                <w:bCs/>
                <w:color w:val="auto"/>
                <w:spacing w:val="-4"/>
                <w:sz w:val="28"/>
                <w:szCs w:val="28"/>
                <w:u w:val="single"/>
              </w:rPr>
              <w:t xml:space="preserve">Revenue Recognition and Revenue Concentration from a Significant Related-Party Customer </w:t>
            </w:r>
          </w:p>
          <w:p w14:paraId="5B5BA890" w14:textId="77777777" w:rsidR="00657954" w:rsidRPr="00EE0DEE" w:rsidRDefault="00657954" w:rsidP="00657954">
            <w:pPr>
              <w:pStyle w:val="ps-000-normal"/>
              <w:spacing w:after="0" w:line="320" w:lineRule="exact"/>
              <w:jc w:val="thaiDistribute"/>
              <w:rPr>
                <w:rFonts w:asciiTheme="majorBidi" w:hAnsiTheme="majorBidi" w:cstheme="majorBidi"/>
                <w:color w:val="auto"/>
                <w:spacing w:val="-6"/>
                <w:sz w:val="28"/>
                <w:szCs w:val="28"/>
              </w:rPr>
            </w:pPr>
          </w:p>
          <w:p w14:paraId="665E7686" w14:textId="77777777" w:rsidR="00657954" w:rsidRPr="00EE0DEE" w:rsidRDefault="00657954" w:rsidP="00657954">
            <w:pPr>
              <w:pStyle w:val="ps-000-normal"/>
              <w:spacing w:after="0" w:line="320" w:lineRule="exact"/>
              <w:jc w:val="thaiDistribute"/>
              <w:rPr>
                <w:rFonts w:asciiTheme="majorBidi" w:hAnsiTheme="majorBidi" w:cstheme="majorBidi"/>
                <w:color w:val="auto"/>
                <w:spacing w:val="-6"/>
                <w:sz w:val="28"/>
                <w:szCs w:val="28"/>
              </w:rPr>
            </w:pPr>
            <w:r w:rsidRPr="00EE0DEE">
              <w:rPr>
                <w:rFonts w:asciiTheme="majorBidi" w:hAnsiTheme="majorBidi" w:cstheme="majorBidi"/>
                <w:color w:val="auto"/>
                <w:spacing w:val="-6"/>
                <w:sz w:val="28"/>
                <w:szCs w:val="28"/>
              </w:rPr>
              <w:t>For the year ended December 31, 2025, approximately 94% of the Group’s revenue was derived from payment gateway services provided to LOTTERYPLUS Co., Ltd., a related party of the Group, as disclosed in Notes 7, 26 and 2</w:t>
            </w:r>
            <w:r w:rsidRPr="00EE0DEE">
              <w:rPr>
                <w:rFonts w:asciiTheme="majorBidi" w:hAnsiTheme="majorBidi" w:cstheme="majorBidi" w:hint="cs"/>
                <w:color w:val="auto"/>
                <w:spacing w:val="-6"/>
                <w:sz w:val="28"/>
                <w:szCs w:val="28"/>
                <w:cs/>
              </w:rPr>
              <w:t>8</w:t>
            </w:r>
            <w:r w:rsidRPr="00EE0DEE">
              <w:rPr>
                <w:rFonts w:asciiTheme="majorBidi" w:hAnsiTheme="majorBidi" w:cstheme="majorBidi"/>
                <w:color w:val="auto"/>
                <w:spacing w:val="-6"/>
                <w:sz w:val="28"/>
                <w:szCs w:val="28"/>
              </w:rPr>
              <w:t xml:space="preserve"> to the consolidated financial statements. Revenue from payment gateway services represents the principal component of the Group’s consolidated revenue.</w:t>
            </w:r>
          </w:p>
          <w:p w14:paraId="50F5E731" w14:textId="77777777" w:rsidR="00657954" w:rsidRPr="00EE0DEE" w:rsidRDefault="00657954" w:rsidP="00657954">
            <w:pPr>
              <w:pStyle w:val="ps-000-normal"/>
              <w:spacing w:after="0" w:line="320" w:lineRule="exact"/>
              <w:jc w:val="thaiDistribute"/>
              <w:rPr>
                <w:rFonts w:asciiTheme="majorBidi" w:hAnsiTheme="majorBidi" w:cstheme="majorBidi"/>
                <w:color w:val="auto"/>
                <w:spacing w:val="-6"/>
                <w:sz w:val="28"/>
                <w:szCs w:val="28"/>
              </w:rPr>
            </w:pPr>
            <w:r w:rsidRPr="00EE0DEE">
              <w:rPr>
                <w:rFonts w:asciiTheme="majorBidi" w:hAnsiTheme="majorBidi" w:cstheme="majorBidi"/>
                <w:color w:val="auto"/>
                <w:spacing w:val="-6"/>
                <w:sz w:val="28"/>
                <w:szCs w:val="28"/>
              </w:rPr>
              <w:t>This matter was determined to be a key audit matter due to the materiality of the revenue amount, the significant concentration of revenue with a single related-party customer, and the heightened risk of material misstatement arising from related-party transactions. Furthermore, the concentration of revenue involved significant judgment in assessing liquidity and going concern considerations.</w:t>
            </w:r>
          </w:p>
          <w:p w14:paraId="27ADCD28" w14:textId="087AC017" w:rsidR="00657954" w:rsidRPr="00861C1A" w:rsidRDefault="00657954" w:rsidP="00657954">
            <w:pPr>
              <w:autoSpaceDE w:val="0"/>
              <w:autoSpaceDN w:val="0"/>
              <w:adjustRightInd w:val="0"/>
              <w:spacing w:before="120"/>
              <w:jc w:val="thaiDistribute"/>
              <w:rPr>
                <w:rFonts w:ascii="Angsana New" w:hAnsi="Angsana New"/>
                <w:sz w:val="28"/>
              </w:rPr>
            </w:pPr>
          </w:p>
        </w:tc>
        <w:tc>
          <w:tcPr>
            <w:tcW w:w="4693" w:type="dxa"/>
          </w:tcPr>
          <w:p w14:paraId="4222CB80" w14:textId="77777777" w:rsidR="00657954" w:rsidRPr="00EE0DEE" w:rsidRDefault="00657954" w:rsidP="00657954">
            <w:pPr>
              <w:pStyle w:val="ps-000-normal"/>
              <w:spacing w:before="120" w:after="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The followings are my audit procedures to be addressed:</w:t>
            </w:r>
          </w:p>
          <w:p w14:paraId="4BE5CF0E" w14:textId="39EF4D8F" w:rsidR="00657954" w:rsidRPr="00EE0DEE"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 xml:space="preserve">Obtaining an understanding of the relationship with a related company (LOTTERYPLUS Co., Ltd.,) and assessing the identification of related-party transactions in accordance with </w:t>
            </w:r>
            <w:r w:rsidR="00CF61CD">
              <w:rPr>
                <w:rFonts w:asciiTheme="majorBidi" w:hAnsiTheme="majorBidi" w:cstheme="majorBidi"/>
                <w:color w:val="auto"/>
                <w:spacing w:val="-4"/>
                <w:sz w:val="28"/>
                <w:szCs w:val="28"/>
              </w:rPr>
              <w:t>T</w:t>
            </w:r>
            <w:r w:rsidRPr="00EE0DEE">
              <w:rPr>
                <w:rFonts w:asciiTheme="majorBidi" w:hAnsiTheme="majorBidi" w:cstheme="majorBidi"/>
                <w:color w:val="auto"/>
                <w:spacing w:val="-4"/>
                <w:sz w:val="28"/>
                <w:szCs w:val="28"/>
              </w:rPr>
              <w:t>AS 24;</w:t>
            </w:r>
          </w:p>
          <w:p w14:paraId="4A4538F5" w14:textId="77777777" w:rsidR="00657954" w:rsidRPr="00EE0DEE"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Reviewing contractual arrangements with merchants,   including key commercial terms and pricing mechanisms;</w:t>
            </w:r>
          </w:p>
          <w:p w14:paraId="5CA6E5EB" w14:textId="28D417D5" w:rsidR="00657954" w:rsidRPr="00EE0DEE"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 xml:space="preserve">Assessing compliance of revenue recognition policies with </w:t>
            </w:r>
            <w:r w:rsidR="00CF61CD">
              <w:rPr>
                <w:rFonts w:asciiTheme="majorBidi" w:hAnsiTheme="majorBidi" w:cstheme="majorBidi"/>
                <w:color w:val="auto"/>
                <w:spacing w:val="-4"/>
                <w:sz w:val="28"/>
                <w:szCs w:val="28"/>
              </w:rPr>
              <w:t>T</w:t>
            </w:r>
            <w:r w:rsidRPr="00EE0DEE">
              <w:rPr>
                <w:rFonts w:asciiTheme="majorBidi" w:hAnsiTheme="majorBidi" w:cstheme="majorBidi"/>
                <w:color w:val="auto"/>
                <w:spacing w:val="-4"/>
                <w:sz w:val="28"/>
                <w:szCs w:val="28"/>
              </w:rPr>
              <w:t>FRS 15, including the appropriateness of net revenue presentation.</w:t>
            </w:r>
          </w:p>
          <w:p w14:paraId="09CF5D30" w14:textId="77777777" w:rsidR="00657954" w:rsidRPr="00EE0DEE"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Independently recalculating commission revenue from payment gateway services based on transaction data and contractual rates</w:t>
            </w:r>
          </w:p>
          <w:p w14:paraId="7336B4BB" w14:textId="77777777" w:rsidR="00657954"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color w:val="auto"/>
                <w:spacing w:val="-4"/>
                <w:sz w:val="28"/>
                <w:szCs w:val="28"/>
              </w:rPr>
              <w:t>Performing full-population end-to-end closed-loop reconciliations of cash receipts and merchant settlements by matching bank statements to general ledger postings, including cash held on behalf of merchants, commission receivables, commission payables, commission revenue and commission expenses (including related-party merchants), to verify completeness, accuracy, classification and cut-off.</w:t>
            </w:r>
          </w:p>
          <w:p w14:paraId="1A2E2DB3" w14:textId="77778381" w:rsidR="00657954" w:rsidRPr="00EE0DEE" w:rsidRDefault="00657954" w:rsidP="00657954">
            <w:pPr>
              <w:pStyle w:val="ps-000-normal"/>
              <w:numPr>
                <w:ilvl w:val="0"/>
                <w:numId w:val="8"/>
              </w:numPr>
              <w:spacing w:before="60" w:line="340" w:lineRule="exact"/>
              <w:jc w:val="thaiDistribute"/>
              <w:rPr>
                <w:rFonts w:asciiTheme="majorBidi" w:hAnsiTheme="majorBidi" w:cstheme="majorBidi"/>
                <w:color w:val="auto"/>
                <w:spacing w:val="-4"/>
                <w:sz w:val="28"/>
                <w:szCs w:val="28"/>
              </w:rPr>
            </w:pPr>
            <w:r w:rsidRPr="00657954">
              <w:rPr>
                <w:rFonts w:asciiTheme="majorBidi" w:hAnsiTheme="majorBidi" w:cstheme="majorBidi"/>
                <w:color w:val="auto"/>
                <w:spacing w:val="-4"/>
                <w:sz w:val="28"/>
                <w:szCs w:val="28"/>
              </w:rPr>
              <w:t>Evaluating management’s cash flow forecasts and related disclosures concerning revenue concentration and going concern.</w:t>
            </w:r>
          </w:p>
          <w:p w14:paraId="5128CD10" w14:textId="3EFCD763" w:rsidR="00657954" w:rsidRPr="00861C1A" w:rsidRDefault="00657954" w:rsidP="00657954">
            <w:pPr>
              <w:autoSpaceDE w:val="0"/>
              <w:autoSpaceDN w:val="0"/>
              <w:adjustRightInd w:val="0"/>
              <w:spacing w:line="260" w:lineRule="atLeast"/>
              <w:jc w:val="thaiDistribute"/>
              <w:rPr>
                <w:rFonts w:ascii="Angsana New" w:hAnsi="Angsana New"/>
                <w:sz w:val="28"/>
                <w:cs/>
                <w:lang w:val="en-GB"/>
              </w:rPr>
            </w:pPr>
          </w:p>
        </w:tc>
      </w:tr>
      <w:tr w:rsidR="00657954" w:rsidRPr="00861C1A" w14:paraId="3D99CD4A" w14:textId="77777777" w:rsidTr="00E0712C">
        <w:tc>
          <w:tcPr>
            <w:tcW w:w="9375" w:type="dxa"/>
            <w:gridSpan w:val="2"/>
          </w:tcPr>
          <w:p w14:paraId="1109BCB9" w14:textId="59517F56" w:rsidR="00657954" w:rsidRPr="00EE0DEE" w:rsidRDefault="00657954" w:rsidP="00657954">
            <w:pPr>
              <w:pStyle w:val="ps-000-normal"/>
              <w:spacing w:before="120" w:after="0" w:line="340" w:lineRule="exact"/>
              <w:jc w:val="thaiDistribute"/>
              <w:rPr>
                <w:rFonts w:asciiTheme="majorBidi" w:hAnsiTheme="majorBidi" w:cstheme="majorBidi"/>
                <w:color w:val="auto"/>
                <w:spacing w:val="-4"/>
                <w:sz w:val="28"/>
                <w:szCs w:val="28"/>
              </w:rPr>
            </w:pPr>
            <w:r w:rsidRPr="00EE0DEE">
              <w:rPr>
                <w:rFonts w:asciiTheme="majorBidi" w:hAnsiTheme="majorBidi" w:cstheme="majorBidi"/>
                <w:spacing w:val="-4"/>
                <w:sz w:val="28"/>
                <w:szCs w:val="28"/>
              </w:rPr>
              <w:t>Based on the audit procedures performed, we did not identify any material exceptions in relation to the recognition and presentation of revenue from the significant related-party customer. We considered management’s judgements and disclosures regarding revenue concentration and related risks to be appropriate.</w:t>
            </w:r>
          </w:p>
        </w:tc>
      </w:tr>
    </w:tbl>
    <w:p w14:paraId="0CCE0509" w14:textId="77777777" w:rsidR="00CD1C29" w:rsidRPr="00861C1A" w:rsidRDefault="00CD1C29" w:rsidP="00E64C8D">
      <w:pPr>
        <w:spacing w:before="240" w:line="320" w:lineRule="exact"/>
        <w:jc w:val="thaiDistribute"/>
        <w:rPr>
          <w:rFonts w:ascii="Angsana New" w:eastAsia="Times New Roman" w:hAnsi="Angsana New" w:cs="Angsana New"/>
          <w:b/>
          <w:bCs/>
          <w:color w:val="auto"/>
          <w:sz w:val="28"/>
          <w:szCs w:val="28"/>
        </w:rPr>
      </w:pPr>
    </w:p>
    <w:p w14:paraId="579439BB"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43F7B191"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60EC6C5A"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76A4AEC5" w14:textId="77777777"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pPr>
    </w:p>
    <w:p w14:paraId="42A31FBA" w14:textId="6C1B973D" w:rsidR="00B4504E" w:rsidRPr="00861C1A" w:rsidRDefault="00B4504E" w:rsidP="00E64C8D">
      <w:pPr>
        <w:spacing w:before="240" w:line="320" w:lineRule="exact"/>
        <w:jc w:val="thaiDistribute"/>
        <w:rPr>
          <w:rFonts w:ascii="Angsana New" w:eastAsia="Times New Roman" w:hAnsi="Angsana New" w:cs="Angsana New"/>
          <w:b/>
          <w:bCs/>
          <w:color w:val="auto"/>
          <w:sz w:val="28"/>
          <w:szCs w:val="28"/>
        </w:rPr>
        <w:sectPr w:rsidR="00B4504E" w:rsidRPr="00861C1A" w:rsidSect="000150E5">
          <w:footerReference w:type="default" r:id="rId12"/>
          <w:footerReference w:type="first" r:id="rId13"/>
          <w:pgSz w:w="11909" w:h="16834" w:code="9"/>
          <w:pgMar w:top="1418" w:right="1106" w:bottom="284" w:left="1418" w:header="850" w:footer="720" w:gutter="0"/>
          <w:pgNumType w:start="2"/>
          <w:cols w:space="720"/>
          <w:titlePg/>
          <w:docGrid w:linePitch="381"/>
        </w:sectPr>
      </w:pPr>
    </w:p>
    <w:p w14:paraId="658502C3" w14:textId="3018AB4D" w:rsidR="00D505C9" w:rsidRPr="00861C1A" w:rsidRDefault="006C539E" w:rsidP="00D505C9">
      <w:pPr>
        <w:pStyle w:val="Default"/>
        <w:spacing w:before="120" w:after="240"/>
        <w:jc w:val="center"/>
        <w:rPr>
          <w:rFonts w:ascii="Angsana New" w:hAnsi="Angsana New" w:cs="Angsana New"/>
          <w:spacing w:val="2"/>
          <w:sz w:val="28"/>
          <w:szCs w:val="28"/>
        </w:rPr>
      </w:pPr>
      <w:r>
        <w:rPr>
          <w:rFonts w:ascii="Angsana New" w:hAnsi="Angsana New" w:cs="Angsana New"/>
          <w:noProof/>
          <w:spacing w:val="2"/>
          <w:sz w:val="28"/>
          <w:szCs w:val="28"/>
        </w:rPr>
        <w:lastRenderedPageBreak/>
        <w:drawing>
          <wp:anchor distT="0" distB="0" distL="114300" distR="114300" simplePos="0" relativeHeight="251666432" behindDoc="1" locked="0" layoutInCell="1" allowOverlap="1" wp14:anchorId="3D706DD5" wp14:editId="2B426237">
            <wp:simplePos x="0" y="0"/>
            <wp:positionH relativeFrom="column">
              <wp:posOffset>-63610</wp:posOffset>
            </wp:positionH>
            <wp:positionV relativeFrom="paragraph">
              <wp:posOffset>-246491</wp:posOffset>
            </wp:positionV>
            <wp:extent cx="951230" cy="328930"/>
            <wp:effectExtent l="0" t="0" r="1270" b="0"/>
            <wp:wrapNone/>
            <wp:docPr id="104779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D505C9" w:rsidRPr="00861C1A">
        <w:rPr>
          <w:rFonts w:ascii="Angsana New" w:hAnsi="Angsana New" w:cs="Angsana New" w:hint="cs"/>
          <w:spacing w:val="2"/>
          <w:sz w:val="28"/>
          <w:szCs w:val="28"/>
          <w:cs/>
        </w:rPr>
        <w:t xml:space="preserve">- </w:t>
      </w:r>
      <w:r w:rsidR="00D505C9" w:rsidRPr="00861C1A">
        <w:rPr>
          <w:rFonts w:ascii="Angsana New" w:hAnsi="Angsana New" w:cs="Angsana New"/>
          <w:spacing w:val="2"/>
          <w:sz w:val="28"/>
          <w:szCs w:val="28"/>
        </w:rPr>
        <w:t>3</w:t>
      </w:r>
      <w:r w:rsidR="00D505C9" w:rsidRPr="00861C1A">
        <w:rPr>
          <w:rFonts w:ascii="Angsana New" w:hAnsi="Angsana New" w:cs="Angsana New" w:hint="cs"/>
          <w:spacing w:val="2"/>
          <w:sz w:val="28"/>
          <w:szCs w:val="28"/>
          <w:cs/>
        </w:rPr>
        <w:t xml:space="preserve"> -</w:t>
      </w:r>
    </w:p>
    <w:tbl>
      <w:tblPr>
        <w:tblStyle w:val="TableGrid"/>
        <w:tblW w:w="0" w:type="auto"/>
        <w:tblInd w:w="-113" w:type="dxa"/>
        <w:tblLook w:val="04A0" w:firstRow="1" w:lastRow="0" w:firstColumn="1" w:lastColumn="0" w:noHBand="0" w:noVBand="1"/>
      </w:tblPr>
      <w:tblGrid>
        <w:gridCol w:w="4508"/>
        <w:gridCol w:w="4615"/>
      </w:tblGrid>
      <w:tr w:rsidR="00657954" w:rsidRPr="00EE0DEE" w14:paraId="06A7752C" w14:textId="77777777" w:rsidTr="00657954">
        <w:tc>
          <w:tcPr>
            <w:tcW w:w="4508" w:type="dxa"/>
          </w:tcPr>
          <w:p w14:paraId="47EDE50A" w14:textId="77777777" w:rsidR="00657954" w:rsidRPr="00EE0DEE" w:rsidRDefault="00657954" w:rsidP="00D2111D">
            <w:pPr>
              <w:pStyle w:val="ps-000-normal"/>
              <w:spacing w:after="0" w:line="320" w:lineRule="exact"/>
              <w:jc w:val="center"/>
              <w:rPr>
                <w:rFonts w:asciiTheme="majorBidi" w:hAnsiTheme="majorBidi" w:cstheme="majorBidi"/>
                <w:b/>
                <w:bCs/>
                <w:spacing w:val="-2"/>
                <w:sz w:val="28"/>
                <w:szCs w:val="28"/>
              </w:rPr>
            </w:pPr>
            <w:r w:rsidRPr="00EE0DEE">
              <w:rPr>
                <w:rFonts w:asciiTheme="majorBidi" w:hAnsiTheme="majorBidi" w:cstheme="majorBidi"/>
                <w:b/>
                <w:bCs/>
                <w:spacing w:val="-2"/>
                <w:sz w:val="28"/>
                <w:szCs w:val="28"/>
              </w:rPr>
              <w:t>Key Audit Matters</w:t>
            </w:r>
          </w:p>
        </w:tc>
        <w:tc>
          <w:tcPr>
            <w:tcW w:w="4615" w:type="dxa"/>
          </w:tcPr>
          <w:p w14:paraId="0C788588" w14:textId="77777777" w:rsidR="00657954" w:rsidRPr="00EE0DEE" w:rsidRDefault="00657954" w:rsidP="00D2111D">
            <w:pPr>
              <w:pStyle w:val="ps-000-normal"/>
              <w:spacing w:after="0" w:line="320" w:lineRule="exact"/>
              <w:jc w:val="center"/>
              <w:rPr>
                <w:rFonts w:asciiTheme="majorBidi" w:hAnsiTheme="majorBidi" w:cstheme="majorBidi"/>
                <w:spacing w:val="-4"/>
                <w:sz w:val="28"/>
                <w:szCs w:val="28"/>
              </w:rPr>
            </w:pPr>
            <w:r w:rsidRPr="00EE0DEE">
              <w:rPr>
                <w:rFonts w:asciiTheme="majorBidi" w:hAnsiTheme="majorBidi" w:cstheme="majorBidi"/>
                <w:b/>
                <w:bCs/>
                <w:spacing w:val="-2"/>
                <w:sz w:val="28"/>
                <w:szCs w:val="28"/>
              </w:rPr>
              <w:t>How my audit addressed the key audit matter</w:t>
            </w:r>
          </w:p>
        </w:tc>
      </w:tr>
      <w:tr w:rsidR="00657954" w:rsidRPr="00EE0DEE" w14:paraId="07041834" w14:textId="77777777" w:rsidTr="00657954">
        <w:tc>
          <w:tcPr>
            <w:tcW w:w="4508" w:type="dxa"/>
          </w:tcPr>
          <w:p w14:paraId="6146C664" w14:textId="77777777" w:rsidR="00657954" w:rsidRPr="00EE0DEE" w:rsidRDefault="00657954" w:rsidP="00D2111D">
            <w:pPr>
              <w:pStyle w:val="ps-000-normal"/>
              <w:spacing w:line="320" w:lineRule="exact"/>
              <w:jc w:val="thaiDistribute"/>
              <w:rPr>
                <w:rFonts w:asciiTheme="majorBidi" w:hAnsiTheme="majorBidi" w:cstheme="majorBidi"/>
                <w:spacing w:val="-4"/>
                <w:sz w:val="28"/>
                <w:szCs w:val="28"/>
              </w:rPr>
            </w:pPr>
            <w:r w:rsidRPr="00EE0DEE">
              <w:rPr>
                <w:rFonts w:asciiTheme="majorBidi" w:hAnsiTheme="majorBidi" w:cstheme="majorBidi"/>
                <w:b/>
                <w:bCs/>
                <w:spacing w:val="-4"/>
                <w:sz w:val="28"/>
                <w:szCs w:val="28"/>
                <w:u w:val="single"/>
              </w:rPr>
              <w:t xml:space="preserve">Acquisition of PAYGENIX Co., Ltd. and Fair Value Measurement of Identifiable Intangible Assets </w:t>
            </w:r>
          </w:p>
          <w:p w14:paraId="7335C703" w14:textId="77777777" w:rsidR="00657954" w:rsidRPr="00EE0DEE" w:rsidRDefault="00657954" w:rsidP="00D2111D">
            <w:pPr>
              <w:pStyle w:val="ps-000-normal"/>
              <w:spacing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 xml:space="preserve">During the year ended December </w:t>
            </w:r>
            <w:r w:rsidRPr="00EE0DEE">
              <w:rPr>
                <w:rFonts w:asciiTheme="majorBidi" w:hAnsiTheme="majorBidi" w:cs="Angsana New"/>
                <w:spacing w:val="4"/>
                <w:sz w:val="28"/>
                <w:szCs w:val="28"/>
                <w:cs/>
              </w:rPr>
              <w:t>31</w:t>
            </w:r>
            <w:r w:rsidRPr="00EE0DEE">
              <w:rPr>
                <w:rFonts w:asciiTheme="majorBidi" w:hAnsiTheme="majorBidi" w:cs="Angsana New"/>
                <w:spacing w:val="4"/>
                <w:sz w:val="28"/>
                <w:szCs w:val="28"/>
              </w:rPr>
              <w:t>,</w:t>
            </w:r>
            <w:r w:rsidRPr="00EE0DEE">
              <w:rPr>
                <w:rFonts w:asciiTheme="majorBidi" w:hAnsiTheme="majorBidi" w:cstheme="majorBidi"/>
                <w:spacing w:val="4"/>
                <w:sz w:val="28"/>
                <w:szCs w:val="28"/>
              </w:rPr>
              <w:t xml:space="preserve"> </w:t>
            </w:r>
            <w:r w:rsidRPr="00EE0DEE">
              <w:rPr>
                <w:rFonts w:asciiTheme="majorBidi" w:hAnsiTheme="majorBidi" w:cs="Angsana New"/>
                <w:spacing w:val="4"/>
                <w:sz w:val="28"/>
                <w:szCs w:val="28"/>
                <w:cs/>
              </w:rPr>
              <w:t>2025</w:t>
            </w:r>
            <w:r w:rsidRPr="00EE0DEE">
              <w:rPr>
                <w:rFonts w:asciiTheme="majorBidi" w:hAnsiTheme="majorBidi" w:cstheme="majorBidi"/>
                <w:spacing w:val="4"/>
                <w:sz w:val="28"/>
                <w:szCs w:val="28"/>
              </w:rPr>
              <w:t xml:space="preserve">, the Group acquired </w:t>
            </w:r>
            <w:r w:rsidRPr="00EE0DEE">
              <w:rPr>
                <w:rFonts w:asciiTheme="majorBidi" w:hAnsiTheme="majorBidi" w:cs="Angsana New"/>
                <w:spacing w:val="4"/>
                <w:sz w:val="28"/>
                <w:szCs w:val="28"/>
                <w:cs/>
              </w:rPr>
              <w:t>100%</w:t>
            </w:r>
            <w:r w:rsidRPr="00EE0DEE">
              <w:rPr>
                <w:rFonts w:asciiTheme="majorBidi" w:hAnsiTheme="majorBidi" w:cstheme="majorBidi"/>
                <w:spacing w:val="4"/>
                <w:sz w:val="28"/>
                <w:szCs w:val="28"/>
              </w:rPr>
              <w:t xml:space="preserve"> of the ordinary shares of PAYGENIX Co., Ltd. on June</w:t>
            </w:r>
            <w:r>
              <w:rPr>
                <w:rFonts w:asciiTheme="majorBidi" w:hAnsiTheme="majorBidi" w:cstheme="majorBidi" w:hint="cs"/>
                <w:spacing w:val="4"/>
                <w:sz w:val="28"/>
                <w:szCs w:val="28"/>
                <w:cs/>
              </w:rPr>
              <w:t xml:space="preserve"> 12,</w:t>
            </w:r>
            <w:r w:rsidRPr="00EE0DEE">
              <w:rPr>
                <w:rFonts w:asciiTheme="majorBidi" w:hAnsiTheme="majorBidi" w:cstheme="majorBidi"/>
                <w:spacing w:val="4"/>
                <w:sz w:val="28"/>
                <w:szCs w:val="28"/>
              </w:rPr>
              <w:t xml:space="preserve"> </w:t>
            </w:r>
            <w:r w:rsidRPr="00EE0DEE">
              <w:rPr>
                <w:rFonts w:asciiTheme="majorBidi" w:hAnsiTheme="majorBidi" w:cs="Angsana New"/>
                <w:spacing w:val="4"/>
                <w:sz w:val="28"/>
                <w:szCs w:val="28"/>
                <w:cs/>
              </w:rPr>
              <w:t>2025</w:t>
            </w:r>
            <w:r w:rsidRPr="00EE0DEE">
              <w:rPr>
                <w:rFonts w:asciiTheme="majorBidi" w:hAnsiTheme="majorBidi" w:cstheme="majorBidi"/>
                <w:spacing w:val="4"/>
                <w:sz w:val="28"/>
                <w:szCs w:val="28"/>
              </w:rPr>
              <w:t xml:space="preserve"> and accounted for the transaction as a business combination in accordance with TFRS </w:t>
            </w:r>
            <w:r w:rsidRPr="00EE0DEE">
              <w:rPr>
                <w:rFonts w:asciiTheme="majorBidi" w:hAnsiTheme="majorBidi" w:cs="Angsana New"/>
                <w:spacing w:val="4"/>
                <w:sz w:val="28"/>
                <w:szCs w:val="28"/>
                <w:cs/>
              </w:rPr>
              <w:t xml:space="preserve">3 – </w:t>
            </w:r>
            <w:r w:rsidRPr="00EE0DEE">
              <w:rPr>
                <w:rFonts w:asciiTheme="majorBidi" w:hAnsiTheme="majorBidi" w:cstheme="majorBidi"/>
                <w:spacing w:val="4"/>
                <w:sz w:val="28"/>
                <w:szCs w:val="28"/>
              </w:rPr>
              <w:t>Business Combinations.</w:t>
            </w:r>
          </w:p>
          <w:p w14:paraId="7120B260" w14:textId="77777777" w:rsidR="00657954" w:rsidRPr="00EE0DEE" w:rsidRDefault="00657954" w:rsidP="00D2111D">
            <w:pPr>
              <w:pStyle w:val="ps-000-normal"/>
              <w:spacing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Determining the fair value of identifiable assets acquired and liabilities assumed, particularly identifiable intangible assets such as customer relationships, regulatory license, and payment gateway software, involved significant judgement and estimation.</w:t>
            </w:r>
          </w:p>
          <w:p w14:paraId="0E68097C" w14:textId="77777777" w:rsidR="00657954" w:rsidRPr="00EE0DEE" w:rsidRDefault="00657954" w:rsidP="00D2111D">
            <w:pPr>
              <w:pStyle w:val="ps-000-normal"/>
              <w:spacing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 xml:space="preserve">The valuation was performed using discounted cash flow models, requiring assumptions regarding discount rates, growth rates, and other economic inputs. These assumptions reflected the revenue structure of the acquiree as of the acquisition date, which subsequently experienced changes in customer concentration and revenue mix. </w:t>
            </w:r>
          </w:p>
          <w:p w14:paraId="48409038" w14:textId="77777777" w:rsidR="00657954" w:rsidRPr="00EE0DEE" w:rsidRDefault="00657954" w:rsidP="00D2111D">
            <w:pPr>
              <w:pStyle w:val="ps-000-normal"/>
              <w:spacing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 xml:space="preserve">Judgement was also required to assess what information was known or knowable as of the acquisition date in accordance with TFRS </w:t>
            </w:r>
            <w:r w:rsidRPr="00EE0DEE">
              <w:rPr>
                <w:rFonts w:asciiTheme="majorBidi" w:hAnsiTheme="majorBidi" w:cs="Angsana New"/>
                <w:spacing w:val="4"/>
                <w:sz w:val="28"/>
                <w:szCs w:val="28"/>
                <w:cs/>
              </w:rPr>
              <w:t xml:space="preserve">13 – </w:t>
            </w:r>
            <w:r w:rsidRPr="00EE0DEE">
              <w:rPr>
                <w:rFonts w:asciiTheme="majorBidi" w:hAnsiTheme="majorBidi" w:cstheme="majorBidi"/>
                <w:spacing w:val="4"/>
                <w:sz w:val="28"/>
                <w:szCs w:val="28"/>
              </w:rPr>
              <w:t>Fair Value Measurement, particularly in determining whether commercial contracts executed shortly after the acquisition date should be reflected in the acquisition-date valuation.</w:t>
            </w:r>
          </w:p>
          <w:p w14:paraId="6FE99AB1" w14:textId="77777777" w:rsidR="00657954" w:rsidRPr="00EE0DEE" w:rsidRDefault="00657954" w:rsidP="00D2111D">
            <w:pPr>
              <w:pStyle w:val="ps-000-normal"/>
              <w:spacing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Given the complexity of the valuation, the level of judgement involved, and the subsequent changes in revenue concentration, we considered this matter to be one of most significance in the audit.</w:t>
            </w:r>
          </w:p>
          <w:p w14:paraId="6FE07D25" w14:textId="77777777" w:rsidR="00657954" w:rsidRPr="00EE0DEE" w:rsidRDefault="00657954" w:rsidP="00D2111D">
            <w:pPr>
              <w:pStyle w:val="ps-000-normal"/>
              <w:spacing w:after="0" w:line="320" w:lineRule="exact"/>
              <w:rPr>
                <w:rFonts w:asciiTheme="majorBidi" w:hAnsiTheme="majorBidi" w:cstheme="majorBidi"/>
                <w:spacing w:val="4"/>
                <w:sz w:val="28"/>
                <w:szCs w:val="28"/>
              </w:rPr>
            </w:pPr>
            <w:r w:rsidRPr="00EE0DEE">
              <w:rPr>
                <w:rFonts w:asciiTheme="majorBidi" w:hAnsiTheme="majorBidi" w:cstheme="majorBidi"/>
                <w:spacing w:val="4"/>
                <w:sz w:val="28"/>
                <w:szCs w:val="28"/>
              </w:rPr>
              <w:t xml:space="preserve">Refer to Notes </w:t>
            </w:r>
            <w:r w:rsidRPr="00EE0DEE">
              <w:rPr>
                <w:rFonts w:asciiTheme="majorBidi" w:hAnsiTheme="majorBidi" w:cs="Angsana New"/>
                <w:spacing w:val="4"/>
                <w:sz w:val="28"/>
                <w:szCs w:val="28"/>
                <w:cs/>
              </w:rPr>
              <w:t>13.5</w:t>
            </w:r>
            <w:r w:rsidRPr="00EE0DEE">
              <w:rPr>
                <w:rFonts w:asciiTheme="majorBidi" w:hAnsiTheme="majorBidi" w:cstheme="majorBidi"/>
                <w:spacing w:val="4"/>
                <w:sz w:val="28"/>
                <w:szCs w:val="28"/>
              </w:rPr>
              <w:t xml:space="preserve">, </w:t>
            </w:r>
            <w:r w:rsidRPr="00EE0DEE">
              <w:rPr>
                <w:rFonts w:asciiTheme="majorBidi" w:hAnsiTheme="majorBidi" w:cs="Angsana New"/>
                <w:spacing w:val="4"/>
                <w:sz w:val="28"/>
                <w:szCs w:val="28"/>
                <w:cs/>
              </w:rPr>
              <w:t>16</w:t>
            </w:r>
            <w:r w:rsidRPr="00EE0DEE">
              <w:rPr>
                <w:rFonts w:asciiTheme="majorBidi" w:hAnsiTheme="majorBidi" w:cstheme="majorBidi"/>
                <w:spacing w:val="4"/>
                <w:sz w:val="28"/>
                <w:szCs w:val="28"/>
              </w:rPr>
              <w:t xml:space="preserve">, </w:t>
            </w:r>
            <w:r w:rsidRPr="00EE0DEE">
              <w:rPr>
                <w:rFonts w:asciiTheme="majorBidi" w:hAnsiTheme="majorBidi" w:cs="Angsana New"/>
                <w:spacing w:val="4"/>
                <w:sz w:val="28"/>
                <w:szCs w:val="28"/>
                <w:cs/>
              </w:rPr>
              <w:t xml:space="preserve">26 </w:t>
            </w:r>
            <w:r w:rsidRPr="00EE0DEE">
              <w:rPr>
                <w:rFonts w:asciiTheme="majorBidi" w:hAnsiTheme="majorBidi" w:cstheme="majorBidi"/>
                <w:spacing w:val="4"/>
                <w:sz w:val="28"/>
                <w:szCs w:val="28"/>
              </w:rPr>
              <w:t xml:space="preserve">and </w:t>
            </w:r>
            <w:r w:rsidRPr="00EE0DEE">
              <w:rPr>
                <w:rFonts w:asciiTheme="majorBidi" w:hAnsiTheme="majorBidi" w:cs="Angsana New"/>
                <w:spacing w:val="4"/>
                <w:sz w:val="28"/>
                <w:szCs w:val="28"/>
                <w:cs/>
              </w:rPr>
              <w:t>2</w:t>
            </w:r>
            <w:r w:rsidRPr="00EE0DEE">
              <w:rPr>
                <w:rFonts w:asciiTheme="majorBidi" w:hAnsiTheme="majorBidi" w:cs="Angsana New" w:hint="cs"/>
                <w:spacing w:val="4"/>
                <w:sz w:val="28"/>
                <w:szCs w:val="28"/>
                <w:cs/>
              </w:rPr>
              <w:t>8</w:t>
            </w:r>
            <w:r w:rsidRPr="00EE0DEE">
              <w:rPr>
                <w:rFonts w:asciiTheme="majorBidi" w:hAnsiTheme="majorBidi" w:cs="Angsana New"/>
                <w:spacing w:val="4"/>
                <w:sz w:val="28"/>
                <w:szCs w:val="28"/>
                <w:cs/>
              </w:rPr>
              <w:t xml:space="preserve"> </w:t>
            </w:r>
            <w:r w:rsidRPr="00EE0DEE">
              <w:rPr>
                <w:rFonts w:asciiTheme="majorBidi" w:hAnsiTheme="majorBidi" w:cstheme="majorBidi"/>
                <w:spacing w:val="4"/>
                <w:sz w:val="28"/>
                <w:szCs w:val="28"/>
              </w:rPr>
              <w:t>to the consolidated financial statements.</w:t>
            </w:r>
          </w:p>
          <w:p w14:paraId="122DF698" w14:textId="77777777" w:rsidR="00657954" w:rsidRPr="00EE0DEE" w:rsidRDefault="00657954" w:rsidP="00D2111D">
            <w:pPr>
              <w:pStyle w:val="ps-000-normal"/>
              <w:spacing w:after="0" w:line="320" w:lineRule="exact"/>
              <w:jc w:val="thaiDistribute"/>
              <w:rPr>
                <w:rFonts w:asciiTheme="majorBidi" w:hAnsiTheme="majorBidi" w:cstheme="majorBidi"/>
                <w:spacing w:val="-4"/>
                <w:sz w:val="28"/>
                <w:szCs w:val="28"/>
              </w:rPr>
            </w:pPr>
          </w:p>
          <w:p w14:paraId="0859EC54" w14:textId="77777777" w:rsidR="00657954" w:rsidRPr="00EE0DEE" w:rsidRDefault="00657954" w:rsidP="00D2111D">
            <w:pPr>
              <w:pStyle w:val="ps-000-normal"/>
              <w:spacing w:after="0" w:line="320" w:lineRule="exact"/>
              <w:ind w:right="-28"/>
              <w:jc w:val="both"/>
              <w:rPr>
                <w:rFonts w:asciiTheme="majorBidi" w:hAnsiTheme="majorBidi" w:cstheme="majorBidi"/>
                <w:spacing w:val="-4"/>
                <w:sz w:val="28"/>
                <w:szCs w:val="28"/>
                <w:cs/>
              </w:rPr>
            </w:pPr>
          </w:p>
        </w:tc>
        <w:tc>
          <w:tcPr>
            <w:tcW w:w="4615" w:type="dxa"/>
          </w:tcPr>
          <w:p w14:paraId="7CCC1473" w14:textId="77777777" w:rsidR="00657954" w:rsidRPr="00EE0DEE" w:rsidRDefault="00657954" w:rsidP="00D2111D">
            <w:pPr>
              <w:pStyle w:val="ListParagraph"/>
              <w:ind w:left="0"/>
              <w:rPr>
                <w:rFonts w:asciiTheme="majorBidi" w:eastAsia="Times New Roman" w:hAnsiTheme="majorBidi" w:cstheme="majorBidi"/>
                <w:color w:val="000000"/>
                <w:spacing w:val="-4"/>
                <w:sz w:val="28"/>
              </w:rPr>
            </w:pPr>
            <w:r w:rsidRPr="00EE0DEE">
              <w:rPr>
                <w:rFonts w:asciiTheme="majorBidi" w:eastAsia="Times New Roman" w:hAnsiTheme="majorBidi" w:cstheme="majorBidi"/>
                <w:color w:val="000000"/>
                <w:spacing w:val="-4"/>
                <w:sz w:val="28"/>
              </w:rPr>
              <w:t>The followings are my audit procedures to be addressed:</w:t>
            </w:r>
          </w:p>
          <w:p w14:paraId="3C3979FC" w14:textId="77777777" w:rsidR="00657954" w:rsidRPr="00EE0DEE" w:rsidRDefault="00657954" w:rsidP="00657954">
            <w:pPr>
              <w:pStyle w:val="ListParagraph"/>
              <w:numPr>
                <w:ilvl w:val="0"/>
                <w:numId w:val="8"/>
              </w:numPr>
              <w:rPr>
                <w:rFonts w:asciiTheme="majorBidi" w:eastAsia="Times New Roman" w:hAnsiTheme="majorBidi" w:cstheme="majorBidi"/>
                <w:color w:val="000000"/>
                <w:spacing w:val="-4"/>
                <w:sz w:val="28"/>
              </w:rPr>
            </w:pPr>
            <w:r w:rsidRPr="00EE0DEE">
              <w:rPr>
                <w:rFonts w:asciiTheme="majorBidi" w:hAnsiTheme="majorBidi" w:cstheme="majorBidi"/>
                <w:color w:val="000000"/>
                <w:spacing w:val="-4"/>
                <w:sz w:val="28"/>
              </w:rPr>
              <w:t>Evaluating the competence and objectivity of management’s valuation specialist and understanding the scope and methodology applied;</w:t>
            </w:r>
            <w:r w:rsidRPr="00EE0DEE">
              <w:t xml:space="preserve"> </w:t>
            </w:r>
          </w:p>
          <w:p w14:paraId="04099C48" w14:textId="77777777" w:rsidR="00657954" w:rsidRPr="00EE0DEE" w:rsidRDefault="00657954" w:rsidP="00657954">
            <w:pPr>
              <w:pStyle w:val="ListParagraph"/>
              <w:numPr>
                <w:ilvl w:val="0"/>
                <w:numId w:val="8"/>
              </w:numPr>
              <w:rPr>
                <w:rFonts w:asciiTheme="majorBidi" w:eastAsia="Times New Roman" w:hAnsiTheme="majorBidi" w:cstheme="majorBidi"/>
                <w:color w:val="000000"/>
                <w:spacing w:val="-4"/>
                <w:sz w:val="28"/>
              </w:rPr>
            </w:pPr>
            <w:r w:rsidRPr="00EE0DEE">
              <w:rPr>
                <w:rFonts w:asciiTheme="majorBidi" w:eastAsia="Times New Roman" w:hAnsiTheme="majorBidi" w:cstheme="majorBidi"/>
                <w:color w:val="000000"/>
                <w:spacing w:val="-4"/>
                <w:sz w:val="28"/>
              </w:rPr>
              <w:t>Assessing the appropriateness of the valuation methodology and key assumptions, including discount rates, growth rates and revenue structure as of the acquisition date, by reference to relevant market data;</w:t>
            </w:r>
          </w:p>
          <w:p w14:paraId="7FBD2090" w14:textId="77777777" w:rsidR="00657954" w:rsidRPr="00EE0DEE" w:rsidRDefault="00657954" w:rsidP="00657954">
            <w:pPr>
              <w:pStyle w:val="ListParagraph"/>
              <w:numPr>
                <w:ilvl w:val="0"/>
                <w:numId w:val="8"/>
              </w:numPr>
              <w:rPr>
                <w:rFonts w:asciiTheme="majorBidi" w:eastAsia="Times New Roman" w:hAnsiTheme="majorBidi" w:cstheme="majorBidi"/>
                <w:color w:val="000000"/>
                <w:spacing w:val="-4"/>
                <w:sz w:val="28"/>
              </w:rPr>
            </w:pPr>
            <w:r w:rsidRPr="00EE0DEE">
              <w:rPr>
                <w:rFonts w:asciiTheme="majorBidi" w:eastAsia="Times New Roman" w:hAnsiTheme="majorBidi" w:cstheme="majorBidi"/>
                <w:color w:val="000000"/>
                <w:spacing w:val="-4"/>
                <w:sz w:val="28"/>
              </w:rPr>
              <w:t>Evaluating the identification and recognition of intangible assets under TFRS 3;</w:t>
            </w:r>
            <w:r w:rsidRPr="00EE0DEE">
              <w:t xml:space="preserve"> </w:t>
            </w:r>
          </w:p>
          <w:p w14:paraId="15972D2D" w14:textId="77777777" w:rsidR="00657954" w:rsidRPr="00EE0DEE" w:rsidRDefault="00657954" w:rsidP="00657954">
            <w:pPr>
              <w:pStyle w:val="ListParagraph"/>
              <w:numPr>
                <w:ilvl w:val="0"/>
                <w:numId w:val="8"/>
              </w:numPr>
              <w:rPr>
                <w:rFonts w:asciiTheme="majorBidi" w:eastAsia="Times New Roman" w:hAnsiTheme="majorBidi" w:cstheme="majorBidi"/>
                <w:color w:val="000000"/>
                <w:spacing w:val="-4"/>
                <w:sz w:val="28"/>
              </w:rPr>
            </w:pPr>
            <w:r w:rsidRPr="00EE0DEE">
              <w:rPr>
                <w:rFonts w:asciiTheme="majorBidi" w:hAnsiTheme="majorBidi" w:cstheme="majorBidi"/>
                <w:color w:val="000000"/>
                <w:spacing w:val="-4"/>
                <w:sz w:val="28"/>
              </w:rPr>
              <w:t>Reviewing Board minutes and relevant contracts to evaluate whether enforceable rights or obligations existed prior to the acquisition date;</w:t>
            </w:r>
            <w:r w:rsidRPr="00EE0DEE">
              <w:t xml:space="preserve"> </w:t>
            </w:r>
          </w:p>
          <w:p w14:paraId="63ACCA5F" w14:textId="77777777" w:rsidR="00657954" w:rsidRPr="00EE0DEE" w:rsidRDefault="00657954" w:rsidP="00657954">
            <w:pPr>
              <w:pStyle w:val="ListParagraph"/>
              <w:numPr>
                <w:ilvl w:val="0"/>
                <w:numId w:val="8"/>
              </w:numPr>
              <w:rPr>
                <w:rFonts w:asciiTheme="majorBidi" w:eastAsia="Times New Roman" w:hAnsiTheme="majorBidi" w:cstheme="majorBidi"/>
                <w:color w:val="000000"/>
                <w:spacing w:val="-4"/>
                <w:sz w:val="28"/>
              </w:rPr>
            </w:pPr>
            <w:r w:rsidRPr="00EE0DEE">
              <w:rPr>
                <w:rFonts w:asciiTheme="majorBidi" w:eastAsia="Times New Roman" w:hAnsiTheme="majorBidi" w:cstheme="majorBidi"/>
                <w:color w:val="000000"/>
                <w:spacing w:val="-4"/>
                <w:sz w:val="28"/>
              </w:rPr>
              <w:t>Assessing the adequacy of disclosures related to the business combination and revenue concentration risk.</w:t>
            </w:r>
          </w:p>
          <w:p w14:paraId="76DC9319" w14:textId="77777777" w:rsidR="00657954" w:rsidRPr="00EE0DEE" w:rsidRDefault="00657954" w:rsidP="00D2111D">
            <w:pPr>
              <w:pStyle w:val="ListParagraph"/>
              <w:ind w:left="360"/>
              <w:rPr>
                <w:rFonts w:asciiTheme="majorBidi" w:eastAsia="Times New Roman" w:hAnsiTheme="majorBidi" w:cstheme="majorBidi"/>
                <w:color w:val="000000"/>
                <w:spacing w:val="-4"/>
                <w:sz w:val="28"/>
              </w:rPr>
            </w:pPr>
          </w:p>
        </w:tc>
      </w:tr>
      <w:tr w:rsidR="00657954" w:rsidRPr="00EE0DEE" w14:paraId="6A1E9D9D" w14:textId="77777777" w:rsidTr="00657954">
        <w:tc>
          <w:tcPr>
            <w:tcW w:w="9123" w:type="dxa"/>
            <w:gridSpan w:val="2"/>
          </w:tcPr>
          <w:p w14:paraId="43212894" w14:textId="77777777" w:rsidR="00657954" w:rsidRPr="00EE0DEE" w:rsidRDefault="00657954" w:rsidP="00D2111D">
            <w:pPr>
              <w:pStyle w:val="ps-000-normal"/>
              <w:spacing w:after="0" w:line="340" w:lineRule="exact"/>
              <w:jc w:val="thaiDistribute"/>
              <w:rPr>
                <w:rFonts w:asciiTheme="majorBidi" w:hAnsiTheme="majorBidi" w:cstheme="majorBidi"/>
                <w:spacing w:val="-4"/>
                <w:sz w:val="28"/>
              </w:rPr>
            </w:pPr>
            <w:r w:rsidRPr="00EE0DEE">
              <w:rPr>
                <w:rFonts w:asciiTheme="majorBidi" w:hAnsiTheme="majorBidi" w:cstheme="majorBidi"/>
                <w:spacing w:val="-4"/>
                <w:sz w:val="28"/>
                <w:szCs w:val="28"/>
              </w:rPr>
              <w:t>Based on the audit evidence obtained, we found that management’s methodology and assumptions, including the acquisition-date assessment, were appropriate.</w:t>
            </w:r>
          </w:p>
        </w:tc>
      </w:tr>
    </w:tbl>
    <w:p w14:paraId="4744ADF4" w14:textId="77777777" w:rsidR="00E64C8D" w:rsidRDefault="00E64C8D" w:rsidP="00E64C8D">
      <w:pPr>
        <w:spacing w:before="240" w:line="320" w:lineRule="exact"/>
        <w:jc w:val="both"/>
        <w:rPr>
          <w:rFonts w:ascii="Angsana New" w:eastAsia="Times New Roman" w:hAnsi="Angsana New" w:cs="Angsana New"/>
          <w:b/>
          <w:bCs/>
          <w:color w:val="auto"/>
          <w:sz w:val="28"/>
          <w:szCs w:val="28"/>
        </w:rPr>
        <w:sectPr w:rsidR="00E64C8D" w:rsidSect="000150E5">
          <w:footerReference w:type="first" r:id="rId14"/>
          <w:pgSz w:w="11907" w:h="16840"/>
          <w:pgMar w:top="1276" w:right="1138" w:bottom="893" w:left="1555" w:header="893" w:footer="720" w:gutter="0"/>
          <w:pgNumType w:start="1"/>
          <w:cols w:space="720"/>
          <w:noEndnote/>
          <w:titlePg/>
          <w:docGrid w:linePitch="245"/>
        </w:sectPr>
      </w:pPr>
    </w:p>
    <w:p w14:paraId="119B390C" w14:textId="48D192A2" w:rsidR="00BF0308" w:rsidRPr="00BF0308" w:rsidRDefault="006C539E" w:rsidP="00BF0308">
      <w:pPr>
        <w:spacing w:before="240" w:line="320" w:lineRule="exact"/>
        <w:jc w:val="center"/>
        <w:rPr>
          <w:rFonts w:ascii="Angsana New" w:eastAsia="Times New Roman" w:hAnsi="Angsana New" w:cs="Angsana New"/>
          <w:color w:val="auto"/>
          <w:sz w:val="28"/>
          <w:szCs w:val="28"/>
          <w:cs/>
        </w:rPr>
      </w:pPr>
      <w:r>
        <w:rPr>
          <w:rFonts w:ascii="Angsana New" w:hAnsi="Angsana New" w:cs="Angsana New"/>
          <w:noProof/>
          <w:spacing w:val="2"/>
          <w:sz w:val="28"/>
          <w:szCs w:val="28"/>
        </w:rPr>
        <w:lastRenderedPageBreak/>
        <w:drawing>
          <wp:anchor distT="0" distB="0" distL="114300" distR="114300" simplePos="0" relativeHeight="251668480" behindDoc="1" locked="0" layoutInCell="1" allowOverlap="1" wp14:anchorId="2AF33136" wp14:editId="624D7CC9">
            <wp:simplePos x="0" y="0"/>
            <wp:positionH relativeFrom="column">
              <wp:posOffset>0</wp:posOffset>
            </wp:positionH>
            <wp:positionV relativeFrom="paragraph">
              <wp:posOffset>-329565</wp:posOffset>
            </wp:positionV>
            <wp:extent cx="951230" cy="328930"/>
            <wp:effectExtent l="0" t="0" r="1270" b="0"/>
            <wp:wrapNone/>
            <wp:docPr id="4672416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E64C8D" w:rsidRPr="00E64C8D">
        <w:rPr>
          <w:rFonts w:ascii="Angsana New" w:eastAsia="Times New Roman" w:hAnsi="Angsana New" w:cs="Angsana New"/>
          <w:color w:val="auto"/>
          <w:sz w:val="28"/>
          <w:szCs w:val="28"/>
        </w:rPr>
        <w:t>- 4 -</w:t>
      </w:r>
    </w:p>
    <w:p w14:paraId="130AE6B4" w14:textId="77777777" w:rsidR="00657954" w:rsidRPr="00EE0DEE" w:rsidRDefault="00657954" w:rsidP="00657954">
      <w:pPr>
        <w:pStyle w:val="ps-000-normal"/>
        <w:spacing w:after="0" w:line="340" w:lineRule="exact"/>
        <w:jc w:val="thaiDistribute"/>
        <w:rPr>
          <w:rFonts w:asciiTheme="majorBidi" w:hAnsiTheme="majorBidi" w:cstheme="majorBidi"/>
          <w:b/>
          <w:bCs/>
          <w:spacing w:val="-2"/>
          <w:sz w:val="28"/>
          <w:szCs w:val="28"/>
        </w:rPr>
      </w:pPr>
      <w:r w:rsidRPr="00EE0DEE">
        <w:rPr>
          <w:rFonts w:asciiTheme="majorBidi" w:hAnsiTheme="majorBidi" w:cstheme="majorBidi"/>
          <w:b/>
          <w:bCs/>
          <w:spacing w:val="-2"/>
          <w:sz w:val="28"/>
          <w:szCs w:val="28"/>
        </w:rPr>
        <w:t>Emphasis of Matter</w:t>
      </w:r>
      <w:r w:rsidRPr="00EE0DEE">
        <w:rPr>
          <w:rFonts w:asciiTheme="majorBidi" w:hAnsiTheme="majorBidi" w:cstheme="majorBidi" w:hint="cs"/>
          <w:b/>
          <w:bCs/>
          <w:spacing w:val="-2"/>
          <w:sz w:val="28"/>
          <w:szCs w:val="28"/>
          <w:cs/>
        </w:rPr>
        <w:t xml:space="preserve"> </w:t>
      </w:r>
    </w:p>
    <w:p w14:paraId="24414EF3" w14:textId="77777777" w:rsidR="00657954" w:rsidRPr="00EE0DEE" w:rsidRDefault="00657954" w:rsidP="00657954">
      <w:pPr>
        <w:pStyle w:val="ps-000-normal"/>
        <w:spacing w:before="120" w:line="360" w:lineRule="exact"/>
        <w:jc w:val="thaiDistribute"/>
        <w:rPr>
          <w:rFonts w:asciiTheme="majorBidi" w:hAnsiTheme="majorBidi" w:cstheme="majorBidi"/>
          <w:spacing w:val="-2"/>
          <w:sz w:val="28"/>
          <w:szCs w:val="28"/>
        </w:rPr>
      </w:pPr>
      <w:r w:rsidRPr="00EE0DEE">
        <w:rPr>
          <w:rFonts w:asciiTheme="majorBidi" w:hAnsiTheme="majorBidi" w:cstheme="majorBidi"/>
          <w:spacing w:val="-2"/>
          <w:sz w:val="28"/>
          <w:szCs w:val="28"/>
        </w:rPr>
        <w:t>We draw attention to Note 2 to the financial statements, which describes the Group’s financial position as at December 31, 2025, whereby equity represented 18.68% of paid-up share capital</w:t>
      </w:r>
      <w:r w:rsidRPr="00EE0DEE">
        <w:rPr>
          <w:rFonts w:asciiTheme="majorBidi" w:hAnsiTheme="majorBidi" w:cstheme="majorBidi" w:hint="cs"/>
          <w:spacing w:val="-2"/>
          <w:sz w:val="28"/>
          <w:szCs w:val="28"/>
          <w:cs/>
        </w:rPr>
        <w:t xml:space="preserve"> </w:t>
      </w:r>
      <w:r w:rsidRPr="00513470">
        <w:rPr>
          <w:rFonts w:asciiTheme="majorBidi" w:hAnsiTheme="majorBidi" w:cstheme="majorBidi"/>
          <w:spacing w:val="-2"/>
          <w:sz w:val="28"/>
          <w:szCs w:val="28"/>
        </w:rPr>
        <w:t>with any discount on share capital deducted</w:t>
      </w:r>
      <w:r w:rsidRPr="00EE0DEE">
        <w:rPr>
          <w:rFonts w:asciiTheme="majorBidi" w:hAnsiTheme="majorBidi" w:cstheme="majorBidi"/>
          <w:spacing w:val="-2"/>
          <w:sz w:val="28"/>
          <w:szCs w:val="28"/>
        </w:rPr>
        <w:t>, which is below the threshold prescribed by the regulations of the Stock Exchange of Thailand (“SET”) and has resulted in the continuation of the CB (Caution Business) designation since 28 February 2024.</w:t>
      </w:r>
    </w:p>
    <w:p w14:paraId="787E85A8" w14:textId="77777777" w:rsidR="00657954" w:rsidRPr="00EE0DEE" w:rsidRDefault="00657954" w:rsidP="00657954">
      <w:pPr>
        <w:pStyle w:val="ps-000-normal"/>
        <w:spacing w:before="120" w:line="360" w:lineRule="exact"/>
        <w:jc w:val="thaiDistribute"/>
        <w:rPr>
          <w:rFonts w:asciiTheme="majorBidi" w:hAnsiTheme="majorBidi" w:cstheme="majorBidi"/>
          <w:spacing w:val="-2"/>
          <w:sz w:val="28"/>
          <w:szCs w:val="28"/>
        </w:rPr>
      </w:pPr>
      <w:r w:rsidRPr="00EE0DEE">
        <w:rPr>
          <w:rFonts w:asciiTheme="majorBidi" w:hAnsiTheme="majorBidi" w:cstheme="majorBidi"/>
          <w:spacing w:val="-2"/>
          <w:sz w:val="28"/>
          <w:szCs w:val="28"/>
        </w:rPr>
        <w:t>As disclosed in Notes 13.5, 21, and 3</w:t>
      </w:r>
      <w:r w:rsidRPr="00EE0DEE">
        <w:rPr>
          <w:rFonts w:asciiTheme="majorBidi" w:hAnsiTheme="majorBidi" w:cstheme="majorBidi" w:hint="cs"/>
          <w:spacing w:val="-2"/>
          <w:sz w:val="28"/>
          <w:szCs w:val="28"/>
          <w:cs/>
        </w:rPr>
        <w:t>2</w:t>
      </w:r>
      <w:r w:rsidRPr="00EE0DEE">
        <w:rPr>
          <w:rFonts w:asciiTheme="majorBidi" w:hAnsiTheme="majorBidi" w:cstheme="majorBidi"/>
          <w:spacing w:val="-2"/>
          <w:sz w:val="28"/>
          <w:szCs w:val="28"/>
        </w:rPr>
        <w:t xml:space="preserve"> to the financial statements, during the year the Company completed a private placement and acquired PayGenix Co., Ltd. in June 2025. Subsequent to the reporting period, an additional capital increase was completed in January 2026.</w:t>
      </w:r>
    </w:p>
    <w:p w14:paraId="28DA85E1" w14:textId="77777777" w:rsidR="00657954" w:rsidRPr="00EE0DEE" w:rsidRDefault="00657954" w:rsidP="00657954">
      <w:pPr>
        <w:pStyle w:val="ps-000-normal"/>
        <w:spacing w:before="120" w:after="0" w:line="360" w:lineRule="exact"/>
        <w:jc w:val="thaiDistribute"/>
        <w:rPr>
          <w:rFonts w:asciiTheme="majorBidi" w:hAnsiTheme="majorBidi" w:cstheme="majorBidi"/>
          <w:spacing w:val="-2"/>
          <w:sz w:val="28"/>
          <w:szCs w:val="28"/>
        </w:rPr>
      </w:pPr>
      <w:r w:rsidRPr="00EE0DEE">
        <w:rPr>
          <w:rFonts w:asciiTheme="majorBidi" w:hAnsiTheme="majorBidi" w:cstheme="majorBidi"/>
          <w:spacing w:val="-2"/>
          <w:sz w:val="28"/>
          <w:szCs w:val="28"/>
        </w:rPr>
        <w:t>My opinion is not modified in respect of these matters.</w:t>
      </w:r>
    </w:p>
    <w:p w14:paraId="624EC85A" w14:textId="77777777" w:rsidR="00657954" w:rsidRPr="00EE0DEE" w:rsidRDefault="00657954" w:rsidP="00657954">
      <w:pPr>
        <w:pStyle w:val="ps-000-normal"/>
        <w:spacing w:after="0" w:line="340" w:lineRule="exact"/>
        <w:jc w:val="thaiDistribute"/>
        <w:rPr>
          <w:rFonts w:asciiTheme="majorBidi" w:hAnsiTheme="majorBidi" w:cstheme="majorBidi"/>
          <w:b/>
          <w:bCs/>
          <w:spacing w:val="-2"/>
          <w:sz w:val="28"/>
          <w:szCs w:val="28"/>
        </w:rPr>
      </w:pPr>
    </w:p>
    <w:p w14:paraId="036906B5" w14:textId="77777777" w:rsidR="00657954" w:rsidRPr="00EE0DEE" w:rsidRDefault="00657954" w:rsidP="00657954">
      <w:pPr>
        <w:pStyle w:val="ps-000-normal"/>
        <w:spacing w:after="0" w:line="340" w:lineRule="exact"/>
        <w:jc w:val="thaiDistribute"/>
        <w:rPr>
          <w:rFonts w:asciiTheme="majorBidi" w:hAnsiTheme="majorBidi" w:cstheme="majorBidi"/>
          <w:b/>
          <w:bCs/>
          <w:spacing w:val="-2"/>
          <w:sz w:val="28"/>
          <w:szCs w:val="28"/>
        </w:rPr>
      </w:pPr>
      <w:r w:rsidRPr="00EE0DEE">
        <w:rPr>
          <w:rFonts w:asciiTheme="majorBidi" w:hAnsiTheme="majorBidi" w:cstheme="majorBidi"/>
          <w:b/>
          <w:bCs/>
          <w:spacing w:val="-2"/>
          <w:sz w:val="28"/>
          <w:szCs w:val="28"/>
        </w:rPr>
        <w:t>Other Information</w:t>
      </w:r>
    </w:p>
    <w:p w14:paraId="6F32F158"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Management is responsible for the other information. The other information comprises the information included in annual report but does not include the consolidated and separate financial statements and my auditor’s report thereon. The annual report is expected to be made available to me after the date of this auditor’s report.</w:t>
      </w:r>
    </w:p>
    <w:p w14:paraId="1061A187"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My opinion on the consolidated and separate financial statements does not cover the other information and I do not express any form of assurance conclusion thereon.</w:t>
      </w:r>
    </w:p>
    <w:p w14:paraId="0C7E6288" w14:textId="77777777" w:rsidR="00657954" w:rsidRPr="00EE0DEE" w:rsidRDefault="00657954" w:rsidP="00657954">
      <w:pPr>
        <w:pStyle w:val="ps-000-normal"/>
        <w:spacing w:before="60" w:after="0" w:line="340" w:lineRule="exact"/>
        <w:rPr>
          <w:rFonts w:asciiTheme="majorBidi" w:hAnsiTheme="majorBidi" w:cstheme="majorBidi"/>
          <w:spacing w:val="-4"/>
          <w:sz w:val="28"/>
          <w:szCs w:val="28"/>
        </w:rPr>
      </w:pPr>
      <w:r w:rsidRPr="00EE0DEE">
        <w:rPr>
          <w:rFonts w:asciiTheme="majorBidi" w:hAnsiTheme="majorBidi" w:cstheme="majorBidi"/>
          <w:spacing w:val="-4"/>
          <w:sz w:val="28"/>
          <w:szCs w:val="28"/>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6796AE81" w14:textId="77777777" w:rsidR="00657954" w:rsidRPr="00EE0DEE" w:rsidRDefault="00657954" w:rsidP="00657954">
      <w:pPr>
        <w:pStyle w:val="ps-000-normal"/>
        <w:spacing w:before="60" w:after="0" w:line="340" w:lineRule="exact"/>
        <w:rPr>
          <w:rFonts w:asciiTheme="majorBidi" w:hAnsiTheme="majorBidi" w:cstheme="majorBidi"/>
          <w:spacing w:val="-4"/>
          <w:sz w:val="28"/>
          <w:szCs w:val="28"/>
        </w:rPr>
      </w:pPr>
      <w:r w:rsidRPr="00EE0DEE">
        <w:rPr>
          <w:rFonts w:asciiTheme="majorBidi" w:hAnsiTheme="majorBidi" w:cstheme="majorBidi"/>
          <w:spacing w:val="-4"/>
          <w:sz w:val="28"/>
          <w:szCs w:val="28"/>
        </w:rPr>
        <w:t>When I read the annual report, if I conclude that there is a material misstatement therein, I am required to communicate the matter to those charged with governance for correction of the misstatement.</w:t>
      </w:r>
    </w:p>
    <w:p w14:paraId="1AB1866C" w14:textId="77777777" w:rsidR="00657954" w:rsidRPr="00EE0DEE" w:rsidRDefault="00657954" w:rsidP="00657954">
      <w:pPr>
        <w:pStyle w:val="ps-000-normal"/>
        <w:spacing w:before="60" w:after="0" w:line="340" w:lineRule="exact"/>
        <w:rPr>
          <w:rFonts w:asciiTheme="majorBidi" w:hAnsiTheme="majorBidi" w:cstheme="majorBidi"/>
          <w:spacing w:val="-4"/>
          <w:sz w:val="28"/>
          <w:szCs w:val="28"/>
        </w:rPr>
      </w:pPr>
    </w:p>
    <w:p w14:paraId="277EA4DE" w14:textId="77777777" w:rsidR="00657954" w:rsidRPr="00EE0DEE" w:rsidRDefault="00657954" w:rsidP="00657954">
      <w:pPr>
        <w:pStyle w:val="ps-000-normal"/>
        <w:spacing w:before="60" w:after="0" w:line="340" w:lineRule="exact"/>
        <w:rPr>
          <w:rFonts w:asciiTheme="majorBidi" w:hAnsiTheme="majorBidi" w:cstheme="majorBidi"/>
          <w:b/>
          <w:bCs/>
          <w:spacing w:val="-2"/>
          <w:sz w:val="28"/>
          <w:szCs w:val="28"/>
        </w:rPr>
      </w:pPr>
      <w:r w:rsidRPr="00EE0DEE">
        <w:rPr>
          <w:rFonts w:asciiTheme="majorBidi" w:hAnsiTheme="majorBidi" w:cstheme="majorBidi"/>
          <w:b/>
          <w:bCs/>
          <w:spacing w:val="-2"/>
          <w:sz w:val="28"/>
          <w:szCs w:val="28"/>
        </w:rPr>
        <w:t>Responsibilities of Management and Those Charged with Governance for the Consolidated and Separate Financial Statements</w:t>
      </w:r>
    </w:p>
    <w:p w14:paraId="4087A500"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2ED1CE5D"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In preparing the consolidated and separate financial statements, management is responsible for assessing the Group’s and the Company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1E685B3"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Those charged with governance are responsible for overseeing the Group and the Company financial reporting process</w:t>
      </w:r>
      <w:r>
        <w:rPr>
          <w:rFonts w:asciiTheme="majorBidi" w:hAnsiTheme="majorBidi" w:cstheme="majorBidi" w:hint="cs"/>
          <w:spacing w:val="-4"/>
          <w:sz w:val="28"/>
          <w:szCs w:val="28"/>
          <w:cs/>
        </w:rPr>
        <w:t>.</w:t>
      </w:r>
    </w:p>
    <w:p w14:paraId="0F3B5CF2" w14:textId="6E32198B" w:rsidR="002A1B8A" w:rsidRPr="00E64C8D" w:rsidRDefault="00CD1C29" w:rsidP="002A1B8A">
      <w:pPr>
        <w:spacing w:before="120"/>
        <w:jc w:val="thaiDistribute"/>
        <w:rPr>
          <w:rFonts w:ascii="Angsana New" w:eastAsia="Times New Roman" w:hAnsi="Angsana New" w:cs="Angsana New"/>
          <w:b/>
          <w:bCs/>
          <w:color w:val="auto"/>
          <w:sz w:val="28"/>
          <w:szCs w:val="28"/>
        </w:rPr>
        <w:sectPr w:rsidR="002A1B8A" w:rsidRPr="00E64C8D" w:rsidSect="002A1B8A">
          <w:footerReference w:type="default" r:id="rId15"/>
          <w:footerReference w:type="first" r:id="rId16"/>
          <w:pgSz w:w="11909" w:h="16834" w:code="9"/>
          <w:pgMar w:top="1418" w:right="1106" w:bottom="284" w:left="1418" w:header="850" w:footer="720" w:gutter="0"/>
          <w:pgNumType w:start="2"/>
          <w:cols w:space="720"/>
          <w:titlePg/>
          <w:docGrid w:linePitch="381"/>
        </w:sectPr>
      </w:pPr>
      <w:r w:rsidRPr="00CD1C29">
        <w:rPr>
          <w:rFonts w:ascii="Angsana New" w:eastAsia="Times New Roman" w:hAnsi="Angsana New" w:cs="Angsana New"/>
          <w:color w:val="auto"/>
          <w:spacing w:val="-2"/>
          <w:sz w:val="28"/>
          <w:szCs w:val="28"/>
        </w:rPr>
        <w:t>.</w:t>
      </w:r>
    </w:p>
    <w:p w14:paraId="4F9F8CD4" w14:textId="51B90635" w:rsidR="00530836" w:rsidRDefault="006C539E" w:rsidP="00530836">
      <w:pPr>
        <w:spacing w:before="240" w:line="320" w:lineRule="exact"/>
        <w:jc w:val="center"/>
        <w:rPr>
          <w:rFonts w:ascii="Angsana New" w:eastAsia="Times New Roman" w:hAnsi="Angsana New" w:cs="Angsana New"/>
          <w:color w:val="auto"/>
          <w:sz w:val="28"/>
          <w:szCs w:val="28"/>
        </w:rPr>
      </w:pPr>
      <w:r>
        <w:rPr>
          <w:rFonts w:ascii="Angsana New" w:hAnsi="Angsana New" w:cs="Angsana New"/>
          <w:noProof/>
          <w:spacing w:val="2"/>
          <w:sz w:val="28"/>
          <w:szCs w:val="28"/>
        </w:rPr>
        <w:lastRenderedPageBreak/>
        <w:drawing>
          <wp:anchor distT="0" distB="0" distL="114300" distR="114300" simplePos="0" relativeHeight="251670528" behindDoc="1" locked="0" layoutInCell="1" allowOverlap="1" wp14:anchorId="422FFB44" wp14:editId="353B77AA">
            <wp:simplePos x="0" y="0"/>
            <wp:positionH relativeFrom="column">
              <wp:posOffset>0</wp:posOffset>
            </wp:positionH>
            <wp:positionV relativeFrom="paragraph">
              <wp:posOffset>-329565</wp:posOffset>
            </wp:positionV>
            <wp:extent cx="951230" cy="328930"/>
            <wp:effectExtent l="0" t="0" r="1270" b="0"/>
            <wp:wrapNone/>
            <wp:docPr id="73363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r w:rsidR="00530836" w:rsidRPr="00E64C8D">
        <w:rPr>
          <w:rFonts w:ascii="Angsana New" w:eastAsia="Times New Roman" w:hAnsi="Angsana New" w:cs="Angsana New"/>
          <w:color w:val="auto"/>
          <w:sz w:val="28"/>
          <w:szCs w:val="28"/>
        </w:rPr>
        <w:t xml:space="preserve">- </w:t>
      </w:r>
      <w:r w:rsidR="00530836">
        <w:rPr>
          <w:rFonts w:ascii="Angsana New" w:eastAsia="Times New Roman" w:hAnsi="Angsana New" w:cs="Angsana New"/>
          <w:color w:val="auto"/>
          <w:sz w:val="28"/>
          <w:szCs w:val="28"/>
        </w:rPr>
        <w:t>5</w:t>
      </w:r>
      <w:r w:rsidR="00530836" w:rsidRPr="00E64C8D">
        <w:rPr>
          <w:rFonts w:ascii="Angsana New" w:eastAsia="Times New Roman" w:hAnsi="Angsana New" w:cs="Angsana New"/>
          <w:color w:val="auto"/>
          <w:sz w:val="28"/>
          <w:szCs w:val="28"/>
        </w:rPr>
        <w:t xml:space="preserve"> -</w:t>
      </w:r>
    </w:p>
    <w:p w14:paraId="16583447" w14:textId="77777777" w:rsidR="00657954" w:rsidRPr="00EE0DEE" w:rsidRDefault="00657954" w:rsidP="00657954">
      <w:pPr>
        <w:pStyle w:val="ps-000-normal"/>
        <w:spacing w:after="0" w:line="340" w:lineRule="exact"/>
        <w:jc w:val="thaiDistribute"/>
        <w:rPr>
          <w:rFonts w:asciiTheme="majorBidi" w:hAnsiTheme="majorBidi" w:cstheme="majorBidi"/>
          <w:b/>
          <w:bCs/>
          <w:spacing w:val="-2"/>
          <w:sz w:val="28"/>
          <w:szCs w:val="28"/>
        </w:rPr>
      </w:pPr>
      <w:r w:rsidRPr="00EE0DEE">
        <w:rPr>
          <w:rFonts w:asciiTheme="majorBidi" w:hAnsiTheme="majorBidi" w:cstheme="majorBidi"/>
          <w:b/>
          <w:bCs/>
          <w:spacing w:val="-2"/>
          <w:sz w:val="28"/>
          <w:szCs w:val="28"/>
        </w:rPr>
        <w:t>Auditor’s Responsibilities for the Audit of the Consolidated and Separate Financial Statements</w:t>
      </w:r>
    </w:p>
    <w:p w14:paraId="50DA39D8" w14:textId="77777777" w:rsidR="00657954" w:rsidRPr="00EE0DEE" w:rsidRDefault="00657954" w:rsidP="00657954">
      <w:pPr>
        <w:pStyle w:val="ps-000-normal"/>
        <w:spacing w:before="60" w:after="0" w:line="34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EE9FA32" w14:textId="77777777" w:rsidR="00657954" w:rsidRPr="00EE0DEE" w:rsidRDefault="00657954" w:rsidP="00657954">
      <w:pPr>
        <w:pStyle w:val="ps-000-normal"/>
        <w:spacing w:after="0" w:line="320" w:lineRule="exact"/>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As part of an audit in accordance with Thai Standards on Auditing, I exercise professional judgment and maintain professional skepticism throughout the audit. I also:</w:t>
      </w:r>
    </w:p>
    <w:p w14:paraId="51302B20"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FF35818"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5877904"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Evaluate the appropriateness of accounting policies used and the reasonableness of accounting estimates and related disclosures made by management.</w:t>
      </w:r>
    </w:p>
    <w:p w14:paraId="693A88A9"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5999F21"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717A5F65" w14:textId="77777777" w:rsidR="00657954" w:rsidRPr="00EE0DEE" w:rsidRDefault="00657954" w:rsidP="00657954">
      <w:pPr>
        <w:pStyle w:val="ps-000-normal"/>
        <w:numPr>
          <w:ilvl w:val="0"/>
          <w:numId w:val="9"/>
        </w:numPr>
        <w:spacing w:before="60" w:after="0" w:line="340" w:lineRule="exact"/>
        <w:ind w:left="284" w:hanging="284"/>
        <w:jc w:val="thaiDistribute"/>
        <w:rPr>
          <w:rFonts w:asciiTheme="majorBidi" w:hAnsiTheme="majorBidi" w:cstheme="majorBidi"/>
          <w:spacing w:val="-4"/>
          <w:sz w:val="28"/>
          <w:szCs w:val="28"/>
        </w:rPr>
      </w:pPr>
      <w:r w:rsidRPr="00EE0DEE">
        <w:rPr>
          <w:rFonts w:asciiTheme="majorBidi" w:hAnsiTheme="majorBidi" w:cstheme="majorBidi"/>
          <w:spacing w:val="-4"/>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EAA9E8C" w14:textId="77777777" w:rsidR="00657954" w:rsidRPr="00EE0DEE" w:rsidRDefault="00657954" w:rsidP="00657954">
      <w:pPr>
        <w:pStyle w:val="ps-000-normal"/>
        <w:spacing w:before="60" w:after="0" w:line="340" w:lineRule="exact"/>
        <w:jc w:val="thaiDistribute"/>
        <w:rPr>
          <w:rFonts w:asciiTheme="majorBidi" w:hAnsiTheme="majorBidi" w:cstheme="majorBidi"/>
          <w:sz w:val="28"/>
          <w:szCs w:val="28"/>
        </w:rPr>
      </w:pPr>
      <w:r w:rsidRPr="00EE0DEE">
        <w:rPr>
          <w:rFonts w:asciiTheme="majorBidi" w:hAnsiTheme="majorBidi" w:cstheme="majorBidi"/>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p>
    <w:p w14:paraId="7291609C" w14:textId="77777777" w:rsidR="00657954" w:rsidRPr="00EE0DEE" w:rsidRDefault="00657954" w:rsidP="00657954">
      <w:pPr>
        <w:pStyle w:val="ps-000-normal"/>
        <w:spacing w:before="60" w:after="0" w:line="340" w:lineRule="exact"/>
        <w:jc w:val="thaiDistribute"/>
        <w:rPr>
          <w:rFonts w:asciiTheme="majorBidi" w:hAnsiTheme="majorBidi" w:cstheme="majorBidi"/>
          <w:sz w:val="28"/>
          <w:szCs w:val="28"/>
        </w:rPr>
      </w:pPr>
      <w:r w:rsidRPr="00EE0DEE">
        <w:rPr>
          <w:rFonts w:asciiTheme="majorBidi" w:hAnsiTheme="majorBidi" w:cstheme="majorBidi"/>
          <w:sz w:val="28"/>
          <w:szCs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8EF680A" w14:textId="77777777" w:rsidR="002A1B8A" w:rsidRPr="00E64C8D" w:rsidRDefault="002A1B8A" w:rsidP="002A1B8A">
      <w:pPr>
        <w:spacing w:before="240" w:line="320" w:lineRule="exact"/>
        <w:jc w:val="thaiDistribute"/>
        <w:rPr>
          <w:rFonts w:ascii="Angsana New" w:eastAsia="Times New Roman" w:hAnsi="Angsana New" w:cs="Angsana New"/>
          <w:b/>
          <w:bCs/>
          <w:color w:val="auto"/>
          <w:sz w:val="28"/>
          <w:szCs w:val="28"/>
        </w:rPr>
        <w:sectPr w:rsidR="002A1B8A" w:rsidRPr="00E64C8D" w:rsidSect="002A1B8A">
          <w:footerReference w:type="default" r:id="rId17"/>
          <w:footerReference w:type="first" r:id="rId18"/>
          <w:pgSz w:w="11909" w:h="16834" w:code="9"/>
          <w:pgMar w:top="1418" w:right="1106" w:bottom="284" w:left="1418" w:header="850" w:footer="720" w:gutter="0"/>
          <w:pgNumType w:start="2"/>
          <w:cols w:space="720"/>
          <w:titlePg/>
          <w:docGrid w:linePitch="381"/>
        </w:sectPr>
      </w:pPr>
    </w:p>
    <w:p w14:paraId="720D7A6A" w14:textId="66897EC8" w:rsidR="006C539E" w:rsidRDefault="006C539E" w:rsidP="00530836">
      <w:pPr>
        <w:tabs>
          <w:tab w:val="left" w:pos="5080"/>
        </w:tabs>
        <w:jc w:val="center"/>
        <w:rPr>
          <w:rFonts w:ascii="Angsana New" w:eastAsia="Times New Roman" w:hAnsi="Angsana New" w:cs="Angsana New"/>
          <w:color w:val="auto"/>
          <w:sz w:val="28"/>
          <w:szCs w:val="28"/>
        </w:rPr>
      </w:pPr>
      <w:r>
        <w:rPr>
          <w:rFonts w:ascii="Angsana New" w:hAnsi="Angsana New" w:cs="Angsana New"/>
          <w:noProof/>
          <w:spacing w:val="2"/>
          <w:sz w:val="28"/>
          <w:szCs w:val="28"/>
        </w:rPr>
        <w:lastRenderedPageBreak/>
        <w:drawing>
          <wp:anchor distT="0" distB="0" distL="114300" distR="114300" simplePos="0" relativeHeight="251672576" behindDoc="1" locked="0" layoutInCell="1" allowOverlap="1" wp14:anchorId="2149D3A6" wp14:editId="3B43720F">
            <wp:simplePos x="0" y="0"/>
            <wp:positionH relativeFrom="column">
              <wp:posOffset>0</wp:posOffset>
            </wp:positionH>
            <wp:positionV relativeFrom="paragraph">
              <wp:posOffset>-155034</wp:posOffset>
            </wp:positionV>
            <wp:extent cx="951230" cy="328930"/>
            <wp:effectExtent l="0" t="0" r="1270" b="0"/>
            <wp:wrapNone/>
            <wp:docPr id="594287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1230" cy="328930"/>
                    </a:xfrm>
                    <a:prstGeom prst="rect">
                      <a:avLst/>
                    </a:prstGeom>
                    <a:noFill/>
                  </pic:spPr>
                </pic:pic>
              </a:graphicData>
            </a:graphic>
            <wp14:sizeRelH relativeFrom="page">
              <wp14:pctWidth>0</wp14:pctWidth>
            </wp14:sizeRelH>
            <wp14:sizeRelV relativeFrom="page">
              <wp14:pctHeight>0</wp14:pctHeight>
            </wp14:sizeRelV>
          </wp:anchor>
        </w:drawing>
      </w:r>
    </w:p>
    <w:p w14:paraId="38BDB602" w14:textId="274A4017" w:rsidR="000150E5" w:rsidRPr="000150E5" w:rsidRDefault="000150E5" w:rsidP="00530836">
      <w:pPr>
        <w:tabs>
          <w:tab w:val="left" w:pos="5080"/>
        </w:tabs>
        <w:jc w:val="center"/>
        <w:rPr>
          <w:rFonts w:ascii="Angsana New" w:eastAsia="Times New Roman" w:hAnsi="Angsana New" w:cs="Angsana New"/>
          <w:color w:val="auto"/>
          <w:sz w:val="28"/>
          <w:szCs w:val="28"/>
        </w:rPr>
      </w:pPr>
      <w:r w:rsidRPr="00E64C8D">
        <w:rPr>
          <w:rFonts w:ascii="Angsana New" w:eastAsia="Times New Roman" w:hAnsi="Angsana New" w:cs="Angsana New"/>
          <w:color w:val="auto"/>
          <w:sz w:val="28"/>
          <w:szCs w:val="28"/>
        </w:rPr>
        <w:t xml:space="preserve">- </w:t>
      </w:r>
      <w:r>
        <w:rPr>
          <w:rFonts w:ascii="Angsana New" w:eastAsia="Times New Roman" w:hAnsi="Angsana New" w:cs="Angsana New"/>
          <w:color w:val="auto"/>
          <w:sz w:val="28"/>
          <w:szCs w:val="28"/>
        </w:rPr>
        <w:t>6</w:t>
      </w:r>
      <w:r w:rsidRPr="00E64C8D">
        <w:rPr>
          <w:rFonts w:ascii="Angsana New" w:eastAsia="Times New Roman" w:hAnsi="Angsana New" w:cs="Angsana New"/>
          <w:color w:val="auto"/>
          <w:sz w:val="28"/>
          <w:szCs w:val="28"/>
        </w:rPr>
        <w:t xml:space="preserve"> -</w:t>
      </w:r>
    </w:p>
    <w:p w14:paraId="0CC0BA84" w14:textId="77777777" w:rsidR="00657954" w:rsidRPr="00EE0DEE" w:rsidRDefault="00657954" w:rsidP="00657954">
      <w:pPr>
        <w:pStyle w:val="ps-000-normal"/>
        <w:spacing w:before="60" w:after="0" w:line="340" w:lineRule="exact"/>
        <w:jc w:val="thaiDistribute"/>
        <w:rPr>
          <w:rFonts w:asciiTheme="majorBidi" w:hAnsiTheme="majorBidi" w:cstheme="majorBidi"/>
          <w:sz w:val="28"/>
          <w:szCs w:val="28"/>
        </w:rPr>
      </w:pPr>
      <w:r w:rsidRPr="00EE0DEE">
        <w:rPr>
          <w:rFonts w:asciiTheme="majorBidi" w:hAnsiTheme="majorBidi" w:cstheme="majorBidi"/>
          <w:sz w:val="28"/>
          <w:szCs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w:t>
      </w:r>
      <w:r w:rsidRPr="00EE0DEE">
        <w:rPr>
          <w:rFonts w:asciiTheme="majorBidi" w:hAnsiTheme="majorBidi" w:cstheme="majorBidi" w:hint="cs"/>
          <w:sz w:val="28"/>
          <w:szCs w:val="28"/>
          <w:cs/>
        </w:rPr>
        <w:t xml:space="preserve"> </w:t>
      </w:r>
      <w:r w:rsidRPr="00EE0DEE">
        <w:rPr>
          <w:rFonts w:asciiTheme="majorBidi" w:hAnsiTheme="majorBidi" w:cstheme="majorBidi"/>
          <w:sz w:val="28"/>
          <w:szCs w:val="28"/>
        </w:rPr>
        <w:t xml:space="preserve">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8C01F8F" w14:textId="77777777" w:rsidR="00657954" w:rsidRPr="00EE0DEE" w:rsidRDefault="00657954" w:rsidP="00657954">
      <w:pPr>
        <w:pStyle w:val="ps-000-normal"/>
        <w:spacing w:before="60" w:after="0" w:line="340" w:lineRule="exact"/>
        <w:jc w:val="thaiDistribute"/>
        <w:rPr>
          <w:rFonts w:asciiTheme="majorBidi" w:hAnsiTheme="majorBidi" w:cstheme="majorBidi"/>
          <w:sz w:val="28"/>
          <w:szCs w:val="28"/>
        </w:rPr>
      </w:pPr>
      <w:r w:rsidRPr="00EE0DEE">
        <w:rPr>
          <w:rFonts w:asciiTheme="majorBidi" w:hAnsiTheme="majorBidi" w:cstheme="majorBidi"/>
          <w:sz w:val="28"/>
          <w:szCs w:val="28"/>
        </w:rPr>
        <w:t>The engagement partner on the audit resulting in this independent auditor’s report is Mr. Worapol Wiriyakulapong</w:t>
      </w:r>
    </w:p>
    <w:p w14:paraId="5D87A756" w14:textId="77777777" w:rsidR="00657954" w:rsidRPr="00EE0DEE" w:rsidRDefault="00657954" w:rsidP="00657954">
      <w:pPr>
        <w:pStyle w:val="ps-000-normal"/>
        <w:spacing w:after="0" w:line="380" w:lineRule="exact"/>
        <w:jc w:val="thaiDistribute"/>
        <w:rPr>
          <w:rFonts w:asciiTheme="majorBidi" w:hAnsiTheme="majorBidi" w:cstheme="majorBidi"/>
          <w:sz w:val="28"/>
          <w:szCs w:val="28"/>
        </w:rPr>
      </w:pPr>
    </w:p>
    <w:p w14:paraId="382B67C8" w14:textId="77777777" w:rsidR="00657954" w:rsidRPr="00EE0DEE" w:rsidRDefault="00657954" w:rsidP="00657954">
      <w:pPr>
        <w:pStyle w:val="ps-000-normal"/>
        <w:spacing w:after="0" w:line="380" w:lineRule="exact"/>
        <w:jc w:val="thaiDistribute"/>
        <w:rPr>
          <w:rFonts w:asciiTheme="majorBidi" w:hAnsiTheme="majorBidi" w:cstheme="majorBidi"/>
          <w:sz w:val="28"/>
          <w:szCs w:val="28"/>
        </w:rPr>
      </w:pPr>
    </w:p>
    <w:p w14:paraId="74393FD1" w14:textId="77777777" w:rsidR="00657954" w:rsidRPr="00EE0DEE" w:rsidRDefault="00657954" w:rsidP="00657954">
      <w:pPr>
        <w:pStyle w:val="ps-000-normal"/>
        <w:spacing w:after="0" w:line="380" w:lineRule="exact"/>
        <w:jc w:val="thaiDistribute"/>
        <w:rPr>
          <w:rFonts w:asciiTheme="majorBidi" w:hAnsiTheme="majorBidi" w:cstheme="majorBidi"/>
          <w:sz w:val="28"/>
          <w:szCs w:val="28"/>
        </w:rPr>
      </w:pPr>
    </w:p>
    <w:p w14:paraId="53521ECC" w14:textId="77777777" w:rsidR="00657954" w:rsidRPr="00EE0DEE" w:rsidRDefault="00657954" w:rsidP="00657954">
      <w:pPr>
        <w:pStyle w:val="ps-000-normal"/>
        <w:spacing w:after="0" w:line="380" w:lineRule="exact"/>
        <w:jc w:val="thaiDistribute"/>
        <w:rPr>
          <w:rFonts w:asciiTheme="majorBidi" w:hAnsiTheme="majorBidi" w:cstheme="majorBidi"/>
          <w:sz w:val="28"/>
          <w:szCs w:val="28"/>
        </w:rPr>
      </w:pPr>
    </w:p>
    <w:p w14:paraId="10746B47" w14:textId="77777777" w:rsidR="00657954" w:rsidRPr="00EE0DEE" w:rsidRDefault="00657954" w:rsidP="00657954">
      <w:pPr>
        <w:pStyle w:val="ps-000-normal"/>
        <w:spacing w:after="0" w:line="380" w:lineRule="exact"/>
        <w:jc w:val="thaiDistribute"/>
        <w:rPr>
          <w:rFonts w:asciiTheme="majorBidi" w:hAnsiTheme="majorBidi" w:cstheme="majorBidi"/>
          <w:sz w:val="28"/>
          <w:szCs w:val="28"/>
        </w:rPr>
      </w:pPr>
    </w:p>
    <w:p w14:paraId="5D443D3C" w14:textId="77777777" w:rsidR="00657954" w:rsidRPr="00EE0DEE" w:rsidRDefault="00657954" w:rsidP="00657954">
      <w:pPr>
        <w:pStyle w:val="ps-000-normal"/>
        <w:spacing w:after="0" w:line="340" w:lineRule="exact"/>
        <w:jc w:val="thaiDistribute"/>
        <w:rPr>
          <w:rFonts w:asciiTheme="majorBidi" w:hAnsiTheme="majorBidi" w:cstheme="majorBidi"/>
          <w:color w:val="FF0000"/>
          <w:sz w:val="28"/>
          <w:szCs w:val="28"/>
        </w:rPr>
      </w:pPr>
      <w:r w:rsidRPr="00EE0DEE">
        <w:rPr>
          <w:rFonts w:asciiTheme="majorBidi" w:hAnsiTheme="majorBidi" w:cstheme="majorBidi"/>
          <w:sz w:val="28"/>
          <w:szCs w:val="28"/>
        </w:rPr>
        <w:t>(Mr. Worapol Wiriyakulapong)</w:t>
      </w:r>
    </w:p>
    <w:p w14:paraId="1DEE1AB7" w14:textId="77777777" w:rsidR="00657954" w:rsidRPr="00EE0DEE" w:rsidRDefault="00657954" w:rsidP="00657954">
      <w:pPr>
        <w:tabs>
          <w:tab w:val="left" w:pos="720"/>
          <w:tab w:val="center" w:pos="6300"/>
        </w:tabs>
        <w:spacing w:line="340" w:lineRule="exact"/>
        <w:jc w:val="thaiDistribute"/>
        <w:rPr>
          <w:rFonts w:asciiTheme="majorBidi" w:hAnsiTheme="majorBidi" w:cstheme="majorBidi"/>
          <w:sz w:val="28"/>
          <w:szCs w:val="28"/>
        </w:rPr>
      </w:pPr>
      <w:r w:rsidRPr="00EE0DEE">
        <w:rPr>
          <w:rFonts w:asciiTheme="majorBidi" w:hAnsiTheme="majorBidi" w:cstheme="majorBidi"/>
          <w:sz w:val="28"/>
          <w:szCs w:val="28"/>
        </w:rPr>
        <w:t>Certified Public Accountant (Thailand) No. 11181</w:t>
      </w:r>
    </w:p>
    <w:p w14:paraId="528391E1" w14:textId="77777777" w:rsidR="00657954" w:rsidRPr="00EE0DEE" w:rsidRDefault="00657954" w:rsidP="00657954">
      <w:pPr>
        <w:spacing w:line="340" w:lineRule="exact"/>
        <w:jc w:val="thaiDistribute"/>
        <w:rPr>
          <w:rFonts w:asciiTheme="majorBidi" w:hAnsiTheme="majorBidi" w:cstheme="majorBidi"/>
          <w:sz w:val="28"/>
          <w:szCs w:val="28"/>
        </w:rPr>
      </w:pPr>
      <w:r w:rsidRPr="00EE0DEE">
        <w:rPr>
          <w:rFonts w:asciiTheme="majorBidi" w:hAnsiTheme="majorBidi" w:cstheme="majorBidi"/>
          <w:sz w:val="28"/>
          <w:szCs w:val="28"/>
        </w:rPr>
        <w:t>Karin Audit Company Limited</w:t>
      </w:r>
    </w:p>
    <w:p w14:paraId="1C8055CF" w14:textId="77777777" w:rsidR="00657954" w:rsidRPr="00EE0DEE" w:rsidRDefault="00657954" w:rsidP="00657954">
      <w:pPr>
        <w:spacing w:line="340" w:lineRule="exact"/>
        <w:jc w:val="thaiDistribute"/>
        <w:rPr>
          <w:rFonts w:asciiTheme="majorBidi" w:hAnsiTheme="majorBidi" w:cstheme="majorBidi"/>
          <w:sz w:val="28"/>
          <w:szCs w:val="28"/>
        </w:rPr>
      </w:pPr>
      <w:r w:rsidRPr="00EE0DEE">
        <w:rPr>
          <w:rFonts w:asciiTheme="majorBidi" w:hAnsiTheme="majorBidi" w:cstheme="majorBidi"/>
          <w:sz w:val="28"/>
          <w:szCs w:val="28"/>
        </w:rPr>
        <w:t>Bangkok</w:t>
      </w:r>
    </w:p>
    <w:p w14:paraId="2E5D22DA" w14:textId="02689D5A" w:rsidR="00B4504E" w:rsidRDefault="00657954" w:rsidP="00657954">
      <w:pPr>
        <w:rPr>
          <w:rFonts w:ascii="Angsana New" w:eastAsia="Times New Roman" w:hAnsi="Angsana New" w:cs="Angsana New"/>
          <w:color w:val="auto"/>
          <w:sz w:val="28"/>
          <w:szCs w:val="28"/>
        </w:rPr>
      </w:pPr>
      <w:r w:rsidRPr="00EE0DEE">
        <w:rPr>
          <w:rFonts w:asciiTheme="majorBidi" w:hAnsiTheme="majorBidi" w:cstheme="majorBidi"/>
          <w:sz w:val="28"/>
          <w:szCs w:val="28"/>
        </w:rPr>
        <w:t>February 27, 2026</w:t>
      </w:r>
    </w:p>
    <w:p w14:paraId="17272C29" w14:textId="767091B9" w:rsidR="00F7107F" w:rsidRPr="000150E5" w:rsidRDefault="00216AEB" w:rsidP="00216AEB">
      <w:pPr>
        <w:tabs>
          <w:tab w:val="left" w:pos="3043"/>
        </w:tabs>
        <w:spacing w:after="160" w:line="259" w:lineRule="auto"/>
        <w:rPr>
          <w:rFonts w:ascii="Times New Roman" w:eastAsia="Times New Roman" w:hAnsi="Times New Roman" w:cs="Times New Roman"/>
          <w:color w:val="auto"/>
          <w:sz w:val="22"/>
          <w:szCs w:val="24"/>
          <w:lang w:bidi="ar-SA"/>
        </w:rPr>
      </w:pPr>
      <w:r>
        <w:rPr>
          <w:rFonts w:ascii="Times New Roman" w:eastAsia="Times New Roman" w:hAnsi="Times New Roman" w:cs="Times New Roman"/>
          <w:color w:val="auto"/>
          <w:sz w:val="22"/>
          <w:szCs w:val="24"/>
          <w:lang w:bidi="ar-SA"/>
        </w:rPr>
        <w:tab/>
      </w:r>
    </w:p>
    <w:sectPr w:rsidR="00F7107F" w:rsidRPr="000150E5" w:rsidSect="00B4504E">
      <w:footerReference w:type="default" r:id="rId19"/>
      <w:footerReference w:type="first" r:id="rId20"/>
      <w:pgSz w:w="11907" w:h="16840"/>
      <w:pgMar w:top="1143" w:right="1138" w:bottom="893" w:left="1555" w:header="893" w:footer="789" w:gutter="0"/>
      <w:pgNumType w:start="1"/>
      <w:cols w:space="720"/>
      <w:noEndnote/>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014CB" w14:textId="77777777" w:rsidR="002316A9" w:rsidRDefault="002316A9">
      <w:r>
        <w:separator/>
      </w:r>
    </w:p>
  </w:endnote>
  <w:endnote w:type="continuationSeparator" w:id="0">
    <w:p w14:paraId="32BA1C7D" w14:textId="77777777" w:rsidR="002316A9" w:rsidRDefault="0023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5367339"/>
      <w:docPartObj>
        <w:docPartGallery w:val="Page Numbers (Bottom of Page)"/>
        <w:docPartUnique/>
      </w:docPartObj>
    </w:sdtPr>
    <w:sdtEndPr>
      <w:rPr>
        <w:rFonts w:ascii="AngsanaUPC" w:hAnsi="AngsanaUPC" w:cs="AngsanaUPC"/>
        <w:noProof/>
        <w:sz w:val="28"/>
        <w:szCs w:val="28"/>
      </w:rPr>
    </w:sdtEndPr>
    <w:sdtContent>
      <w:p w14:paraId="1EE4DA07" w14:textId="0D8CCAB0" w:rsidR="00D505C9" w:rsidRPr="00B92B53" w:rsidRDefault="00D505C9"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5BAE" w14:textId="0930038A" w:rsidR="000150E5" w:rsidRPr="00B92B53" w:rsidRDefault="000150E5" w:rsidP="000150E5">
    <w:pPr>
      <w:pStyle w:val="Footer"/>
      <w:jc w:val="right"/>
      <w:rPr>
        <w:rFonts w:ascii="AngsanaUPC" w:hAnsi="AngsanaUPC" w:cs="AngsanaUPC"/>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5343324"/>
      <w:docPartObj>
        <w:docPartGallery w:val="Page Numbers (Bottom of Page)"/>
        <w:docPartUnique/>
      </w:docPartObj>
    </w:sdtPr>
    <w:sdtEndPr>
      <w:rPr>
        <w:rFonts w:ascii="AngsanaUPC" w:hAnsi="AngsanaUPC" w:cs="AngsanaUPC"/>
        <w:noProof/>
        <w:sz w:val="28"/>
        <w:szCs w:val="28"/>
      </w:rPr>
    </w:sdtEndPr>
    <w:sdtContent>
      <w:p w14:paraId="0EB04C8A" w14:textId="52CE8EA9" w:rsidR="000150E5" w:rsidRPr="00B92B53" w:rsidRDefault="000150E5" w:rsidP="00D505C9">
        <w:pPr>
          <w:pStyle w:val="Footer"/>
          <w:jc w:val="right"/>
          <w:rPr>
            <w:rFonts w:ascii="AngsanaUPC" w:hAnsi="AngsanaUPC" w:cs="AngsanaUPC"/>
            <w:sz w:val="28"/>
            <w:szCs w:val="28"/>
          </w:rPr>
        </w:pPr>
        <w:r w:rsidRPr="00B92B53">
          <w:rPr>
            <w:rFonts w:ascii="AngsanaUPC" w:hAnsi="AngsanaUPC" w:cs="AngsanaUPC"/>
            <w:sz w:val="28"/>
            <w:szCs w:val="28"/>
          </w:rPr>
          <w:t>****/</w:t>
        </w:r>
        <w:r w:rsidR="00B4504E">
          <w:rPr>
            <w:rFonts w:ascii="AngsanaUPC" w:hAnsi="AngsanaUPC" w:cs="AngsanaUPC"/>
            <w:sz w:val="28"/>
            <w:szCs w:val="28"/>
          </w:rPr>
          <w:t>3</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9033686"/>
      <w:docPartObj>
        <w:docPartGallery w:val="Page Numbers (Bottom of Page)"/>
        <w:docPartUnique/>
      </w:docPartObj>
    </w:sdtPr>
    <w:sdtEndPr>
      <w:rPr>
        <w:rFonts w:ascii="AngsanaUPC" w:hAnsi="AngsanaUPC" w:cs="AngsanaUPC"/>
        <w:noProof/>
        <w:sz w:val="28"/>
        <w:szCs w:val="28"/>
      </w:rPr>
    </w:sdtEndPr>
    <w:sdtContent>
      <w:p w14:paraId="04313964" w14:textId="70E0BAD2" w:rsidR="00336928" w:rsidRPr="002548F3" w:rsidRDefault="00336928" w:rsidP="00B4504E">
        <w:pPr>
          <w:pStyle w:val="Footer"/>
          <w:jc w:val="right"/>
          <w:rPr>
            <w:rFonts w:ascii="AngsanaUPC" w:hAnsi="AngsanaUPC" w:cs="AngsanaUPC"/>
            <w:sz w:val="28"/>
            <w:szCs w:val="28"/>
          </w:rPr>
        </w:pPr>
        <w:r w:rsidRPr="00B92B53">
          <w:rPr>
            <w:rFonts w:ascii="AngsanaUPC" w:hAnsi="AngsanaUPC" w:cs="AngsanaUPC"/>
            <w:sz w:val="28"/>
            <w:szCs w:val="28"/>
          </w:rPr>
          <w:t>****/2</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6263C" w14:textId="7C388BD9" w:rsidR="00837F80" w:rsidRPr="00B92B53" w:rsidRDefault="00E64C8D" w:rsidP="00D505C9">
    <w:pPr>
      <w:pStyle w:val="Footer"/>
      <w:jc w:val="right"/>
      <w:rPr>
        <w:rFonts w:ascii="AngsanaUPC" w:hAnsi="AngsanaUPC" w:cs="AngsanaUPC"/>
        <w:sz w:val="28"/>
        <w:szCs w:val="28"/>
      </w:rPr>
    </w:pPr>
    <w:r>
      <w:rPr>
        <w:rFonts w:ascii="AngsanaUPC" w:hAnsi="AngsanaUPC" w:cs="AngsanaUPC"/>
        <w:sz w:val="28"/>
        <w:szCs w:val="28"/>
      </w:rPr>
      <w:t>****</w:t>
    </w:r>
    <w:r>
      <w:rPr>
        <w:rFonts w:ascii="AngsanaUPC" w:hAnsi="AngsanaUPC" w:cs="AngsanaUPC" w:hint="cs"/>
        <w:sz w:val="28"/>
        <w:szCs w:val="28"/>
        <w:cs/>
      </w:rPr>
      <w:t>/</w:t>
    </w:r>
    <w:r>
      <w:rPr>
        <w:rFonts w:ascii="AngsanaUPC" w:hAnsi="AngsanaUPC" w:cs="AngsanaUPC"/>
        <w:sz w:val="28"/>
        <w:szCs w:val="28"/>
      </w:rPr>
      <w:t>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1117880"/>
      <w:docPartObj>
        <w:docPartGallery w:val="Page Numbers (Bottom of Page)"/>
        <w:docPartUnique/>
      </w:docPartObj>
    </w:sdtPr>
    <w:sdtEndPr>
      <w:rPr>
        <w:rFonts w:ascii="AngsanaUPC" w:hAnsi="AngsanaUPC" w:cs="AngsanaUPC"/>
        <w:noProof/>
        <w:sz w:val="28"/>
        <w:szCs w:val="28"/>
      </w:rPr>
    </w:sdtEndPr>
    <w:sdtContent>
      <w:p w14:paraId="14E3D851"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188844"/>
      <w:docPartObj>
        <w:docPartGallery w:val="Page Numbers (Bottom of Page)"/>
        <w:docPartUnique/>
      </w:docPartObj>
    </w:sdtPr>
    <w:sdtEndPr>
      <w:rPr>
        <w:rFonts w:ascii="AngsanaUPC" w:hAnsi="AngsanaUPC" w:cs="AngsanaUPC"/>
        <w:noProof/>
        <w:sz w:val="28"/>
        <w:szCs w:val="28"/>
      </w:rPr>
    </w:sdtEndPr>
    <w:sdtContent>
      <w:p w14:paraId="69DCB400" w14:textId="1B827E7B"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5</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870581"/>
      <w:docPartObj>
        <w:docPartGallery w:val="Page Numbers (Bottom of Page)"/>
        <w:docPartUnique/>
      </w:docPartObj>
    </w:sdtPr>
    <w:sdtEndPr>
      <w:rPr>
        <w:rFonts w:ascii="AngsanaUPC" w:hAnsi="AngsanaUPC" w:cs="AngsanaUPC"/>
        <w:noProof/>
        <w:sz w:val="28"/>
        <w:szCs w:val="28"/>
      </w:rPr>
    </w:sdtEndPr>
    <w:sdtContent>
      <w:p w14:paraId="4A300445" w14:textId="77777777" w:rsidR="002A1B8A" w:rsidRPr="00B92B53" w:rsidRDefault="002A1B8A" w:rsidP="00D505C9">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3</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573826"/>
      <w:docPartObj>
        <w:docPartGallery w:val="Page Numbers (Bottom of Page)"/>
        <w:docPartUnique/>
      </w:docPartObj>
    </w:sdtPr>
    <w:sdtEndPr>
      <w:rPr>
        <w:rFonts w:ascii="AngsanaUPC" w:hAnsi="AngsanaUPC" w:cs="AngsanaUPC"/>
        <w:noProof/>
        <w:sz w:val="28"/>
        <w:szCs w:val="28"/>
      </w:rPr>
    </w:sdtEndPr>
    <w:sdtContent>
      <w:p w14:paraId="134EDF5A" w14:textId="0B6FAA74" w:rsidR="002A1B8A" w:rsidRPr="002548F3" w:rsidRDefault="002A1B8A" w:rsidP="00B4504E">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920311"/>
      <w:docPartObj>
        <w:docPartGallery w:val="Page Numbers (Bottom of Page)"/>
        <w:docPartUnique/>
      </w:docPartObj>
    </w:sdtPr>
    <w:sdtEndPr>
      <w:rPr>
        <w:rFonts w:ascii="AngsanaUPC" w:hAnsi="AngsanaUPC" w:cs="AngsanaUPC"/>
        <w:noProof/>
        <w:sz w:val="28"/>
        <w:szCs w:val="28"/>
      </w:rPr>
    </w:sdtEndPr>
    <w:sdtContent>
      <w:p w14:paraId="7C80A9E3" w14:textId="5EA4DF3F" w:rsidR="000150E5" w:rsidRPr="00B92B53" w:rsidRDefault="000150E5" w:rsidP="000150E5">
        <w:pPr>
          <w:pStyle w:val="Footer"/>
          <w:jc w:val="right"/>
          <w:rPr>
            <w:rFonts w:ascii="AngsanaUPC" w:hAnsi="AngsanaUPC" w:cs="AngsanaUPC"/>
            <w:sz w:val="28"/>
            <w:szCs w:val="28"/>
          </w:rPr>
        </w:pPr>
        <w:r w:rsidRPr="00B92B53">
          <w:rPr>
            <w:rFonts w:ascii="AngsanaUPC" w:hAnsi="AngsanaUPC" w:cs="AngsanaUPC"/>
            <w:sz w:val="28"/>
            <w:szCs w:val="28"/>
          </w:rPr>
          <w:t>****/</w:t>
        </w:r>
        <w:r>
          <w:rPr>
            <w:rFonts w:ascii="AngsanaUPC" w:hAnsi="AngsanaUPC" w:cs="AngsanaUPC"/>
            <w:sz w:val="28"/>
            <w:szCs w:val="28"/>
          </w:rPr>
          <w:t>6</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A89CE" w14:textId="77777777" w:rsidR="002316A9" w:rsidRDefault="002316A9">
      <w:r>
        <w:separator/>
      </w:r>
    </w:p>
  </w:footnote>
  <w:footnote w:type="continuationSeparator" w:id="0">
    <w:p w14:paraId="554E6AF0" w14:textId="77777777" w:rsidR="002316A9" w:rsidRDefault="0023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54EDB"/>
    <w:multiLevelType w:val="hybridMultilevel"/>
    <w:tmpl w:val="7FF8E392"/>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142A5206"/>
    <w:multiLevelType w:val="hybridMultilevel"/>
    <w:tmpl w:val="BFBADD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005DBA"/>
    <w:multiLevelType w:val="hybridMultilevel"/>
    <w:tmpl w:val="F52C4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CD3B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42865258"/>
    <w:multiLevelType w:val="hybridMultilevel"/>
    <w:tmpl w:val="8D963760"/>
    <w:lvl w:ilvl="0" w:tplc="341A2032">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F76DA1"/>
    <w:multiLevelType w:val="hybridMultilevel"/>
    <w:tmpl w:val="21786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7167B79"/>
    <w:multiLevelType w:val="hybridMultilevel"/>
    <w:tmpl w:val="EAD0CC66"/>
    <w:lvl w:ilvl="0" w:tplc="873ED266">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68629487">
    <w:abstractNumId w:val="5"/>
  </w:num>
  <w:num w:numId="2" w16cid:durableId="1708288370">
    <w:abstractNumId w:val="1"/>
  </w:num>
  <w:num w:numId="3" w16cid:durableId="832141804">
    <w:abstractNumId w:val="4"/>
  </w:num>
  <w:num w:numId="4" w16cid:durableId="713819293">
    <w:abstractNumId w:val="6"/>
  </w:num>
  <w:num w:numId="5" w16cid:durableId="248926130">
    <w:abstractNumId w:val="0"/>
  </w:num>
  <w:num w:numId="6" w16cid:durableId="1471169678">
    <w:abstractNumId w:val="2"/>
  </w:num>
  <w:num w:numId="7" w16cid:durableId="800152261">
    <w:abstractNumId w:val="8"/>
  </w:num>
  <w:num w:numId="8" w16cid:durableId="834614063">
    <w:abstractNumId w:val="7"/>
  </w:num>
  <w:num w:numId="9" w16cid:durableId="292946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170"/>
    <w:rsid w:val="000150E5"/>
    <w:rsid w:val="00021516"/>
    <w:rsid w:val="00045ADE"/>
    <w:rsid w:val="00053422"/>
    <w:rsid w:val="000776AD"/>
    <w:rsid w:val="000937AB"/>
    <w:rsid w:val="00093B26"/>
    <w:rsid w:val="000A48E2"/>
    <w:rsid w:val="000A5C7A"/>
    <w:rsid w:val="000A74DE"/>
    <w:rsid w:val="000C1C5E"/>
    <w:rsid w:val="000C3404"/>
    <w:rsid w:val="000C7BE3"/>
    <w:rsid w:val="000E28F5"/>
    <w:rsid w:val="000E372A"/>
    <w:rsid w:val="00105420"/>
    <w:rsid w:val="0013045E"/>
    <w:rsid w:val="001341B1"/>
    <w:rsid w:val="00144B0F"/>
    <w:rsid w:val="0015080C"/>
    <w:rsid w:val="0016232C"/>
    <w:rsid w:val="00170376"/>
    <w:rsid w:val="00192B44"/>
    <w:rsid w:val="00196F73"/>
    <w:rsid w:val="001B0834"/>
    <w:rsid w:val="001B71A5"/>
    <w:rsid w:val="001D4623"/>
    <w:rsid w:val="001E1C9D"/>
    <w:rsid w:val="001F01C0"/>
    <w:rsid w:val="001F3EAC"/>
    <w:rsid w:val="00216AEB"/>
    <w:rsid w:val="00225821"/>
    <w:rsid w:val="002316A9"/>
    <w:rsid w:val="00232E2F"/>
    <w:rsid w:val="00240577"/>
    <w:rsid w:val="0024578B"/>
    <w:rsid w:val="002548F3"/>
    <w:rsid w:val="00256C2B"/>
    <w:rsid w:val="002577B2"/>
    <w:rsid w:val="00274100"/>
    <w:rsid w:val="002901E2"/>
    <w:rsid w:val="002A04C8"/>
    <w:rsid w:val="002A1B8A"/>
    <w:rsid w:val="002A6664"/>
    <w:rsid w:val="002B66CC"/>
    <w:rsid w:val="002C7271"/>
    <w:rsid w:val="002C7FC9"/>
    <w:rsid w:val="002D536C"/>
    <w:rsid w:val="002E1DD0"/>
    <w:rsid w:val="003036C1"/>
    <w:rsid w:val="00315EC8"/>
    <w:rsid w:val="00322A0B"/>
    <w:rsid w:val="00336928"/>
    <w:rsid w:val="0035744D"/>
    <w:rsid w:val="003742DA"/>
    <w:rsid w:val="00390552"/>
    <w:rsid w:val="00392296"/>
    <w:rsid w:val="003930CB"/>
    <w:rsid w:val="00393396"/>
    <w:rsid w:val="0039693F"/>
    <w:rsid w:val="003B6ADC"/>
    <w:rsid w:val="003F67F0"/>
    <w:rsid w:val="00406B28"/>
    <w:rsid w:val="00414DFA"/>
    <w:rsid w:val="00440D1B"/>
    <w:rsid w:val="004615AD"/>
    <w:rsid w:val="004720C2"/>
    <w:rsid w:val="00476B9C"/>
    <w:rsid w:val="00484722"/>
    <w:rsid w:val="004870F0"/>
    <w:rsid w:val="004B1DB2"/>
    <w:rsid w:val="004D0BD0"/>
    <w:rsid w:val="004D6750"/>
    <w:rsid w:val="004E222A"/>
    <w:rsid w:val="004F44C0"/>
    <w:rsid w:val="00504277"/>
    <w:rsid w:val="00530836"/>
    <w:rsid w:val="00533782"/>
    <w:rsid w:val="005535C5"/>
    <w:rsid w:val="00557F23"/>
    <w:rsid w:val="00577928"/>
    <w:rsid w:val="005A2CEC"/>
    <w:rsid w:val="005A7A67"/>
    <w:rsid w:val="005B0B25"/>
    <w:rsid w:val="005C0402"/>
    <w:rsid w:val="005D2298"/>
    <w:rsid w:val="005E4A9F"/>
    <w:rsid w:val="005F2125"/>
    <w:rsid w:val="005F58C3"/>
    <w:rsid w:val="00604F94"/>
    <w:rsid w:val="00605909"/>
    <w:rsid w:val="00614836"/>
    <w:rsid w:val="00620EB2"/>
    <w:rsid w:val="00643EC4"/>
    <w:rsid w:val="00657954"/>
    <w:rsid w:val="00677F4D"/>
    <w:rsid w:val="00680B3D"/>
    <w:rsid w:val="00696BF3"/>
    <w:rsid w:val="006A089F"/>
    <w:rsid w:val="006B234C"/>
    <w:rsid w:val="006B415B"/>
    <w:rsid w:val="006C1E65"/>
    <w:rsid w:val="006C539E"/>
    <w:rsid w:val="006E09D6"/>
    <w:rsid w:val="006F30CE"/>
    <w:rsid w:val="00702231"/>
    <w:rsid w:val="0073293E"/>
    <w:rsid w:val="007519B4"/>
    <w:rsid w:val="0075412B"/>
    <w:rsid w:val="00780F14"/>
    <w:rsid w:val="00781375"/>
    <w:rsid w:val="00783EA1"/>
    <w:rsid w:val="00786F3E"/>
    <w:rsid w:val="007C19BD"/>
    <w:rsid w:val="007D485C"/>
    <w:rsid w:val="007F6E17"/>
    <w:rsid w:val="007F7ACF"/>
    <w:rsid w:val="0082305D"/>
    <w:rsid w:val="00837F1D"/>
    <w:rsid w:val="00837F80"/>
    <w:rsid w:val="00842FCB"/>
    <w:rsid w:val="00855328"/>
    <w:rsid w:val="00855F7E"/>
    <w:rsid w:val="00861C1A"/>
    <w:rsid w:val="008973F4"/>
    <w:rsid w:val="008C3CF9"/>
    <w:rsid w:val="008E63D3"/>
    <w:rsid w:val="00905DB7"/>
    <w:rsid w:val="00917232"/>
    <w:rsid w:val="009628A9"/>
    <w:rsid w:val="0097076D"/>
    <w:rsid w:val="009928C3"/>
    <w:rsid w:val="00995650"/>
    <w:rsid w:val="00997EFC"/>
    <w:rsid w:val="009C0B1C"/>
    <w:rsid w:val="009C6304"/>
    <w:rsid w:val="009C7F12"/>
    <w:rsid w:val="009D1D96"/>
    <w:rsid w:val="009E6FF6"/>
    <w:rsid w:val="009E70C8"/>
    <w:rsid w:val="00A17419"/>
    <w:rsid w:val="00A55811"/>
    <w:rsid w:val="00A55ACD"/>
    <w:rsid w:val="00A627ED"/>
    <w:rsid w:val="00A644C7"/>
    <w:rsid w:val="00A66C42"/>
    <w:rsid w:val="00A8199D"/>
    <w:rsid w:val="00AA1A62"/>
    <w:rsid w:val="00AA31C6"/>
    <w:rsid w:val="00AC1C80"/>
    <w:rsid w:val="00AC5265"/>
    <w:rsid w:val="00AE0D80"/>
    <w:rsid w:val="00AE7B30"/>
    <w:rsid w:val="00B13F57"/>
    <w:rsid w:val="00B22DAC"/>
    <w:rsid w:val="00B24C0F"/>
    <w:rsid w:val="00B25258"/>
    <w:rsid w:val="00B37ECF"/>
    <w:rsid w:val="00B4504E"/>
    <w:rsid w:val="00B51D7F"/>
    <w:rsid w:val="00B51E36"/>
    <w:rsid w:val="00B51FC5"/>
    <w:rsid w:val="00B71FCB"/>
    <w:rsid w:val="00B92B53"/>
    <w:rsid w:val="00BB1E1C"/>
    <w:rsid w:val="00BF0308"/>
    <w:rsid w:val="00BF2CB1"/>
    <w:rsid w:val="00C547C1"/>
    <w:rsid w:val="00CB3372"/>
    <w:rsid w:val="00CD1C29"/>
    <w:rsid w:val="00CD68D2"/>
    <w:rsid w:val="00CF61CD"/>
    <w:rsid w:val="00D002F1"/>
    <w:rsid w:val="00D04B59"/>
    <w:rsid w:val="00D41DC8"/>
    <w:rsid w:val="00D501B3"/>
    <w:rsid w:val="00D505C9"/>
    <w:rsid w:val="00D520F1"/>
    <w:rsid w:val="00D62377"/>
    <w:rsid w:val="00D700A7"/>
    <w:rsid w:val="00D718B9"/>
    <w:rsid w:val="00DA4148"/>
    <w:rsid w:val="00DC0491"/>
    <w:rsid w:val="00DD562F"/>
    <w:rsid w:val="00DE33A6"/>
    <w:rsid w:val="00DE6308"/>
    <w:rsid w:val="00E35119"/>
    <w:rsid w:val="00E37FEE"/>
    <w:rsid w:val="00E60D44"/>
    <w:rsid w:val="00E64C8D"/>
    <w:rsid w:val="00E82BE4"/>
    <w:rsid w:val="00E9305B"/>
    <w:rsid w:val="00EA3E54"/>
    <w:rsid w:val="00EA7D1A"/>
    <w:rsid w:val="00ED3FB6"/>
    <w:rsid w:val="00EE3D62"/>
    <w:rsid w:val="00EF70A9"/>
    <w:rsid w:val="00EF73CA"/>
    <w:rsid w:val="00F04489"/>
    <w:rsid w:val="00F20B18"/>
    <w:rsid w:val="00F22CC2"/>
    <w:rsid w:val="00F253D6"/>
    <w:rsid w:val="00F31074"/>
    <w:rsid w:val="00F433E1"/>
    <w:rsid w:val="00F54095"/>
    <w:rsid w:val="00F56E6F"/>
    <w:rsid w:val="00F62E72"/>
    <w:rsid w:val="00F7107F"/>
    <w:rsid w:val="00F71AEC"/>
    <w:rsid w:val="00F72914"/>
    <w:rsid w:val="00F73945"/>
    <w:rsid w:val="00F77B5A"/>
    <w:rsid w:val="00F83CD4"/>
    <w:rsid w:val="00F95DDC"/>
    <w:rsid w:val="00FA1E29"/>
    <w:rsid w:val="00FC2170"/>
    <w:rsid w:val="00FE738D"/>
    <w:rsid w:val="00FF11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C5F51"/>
  <w15:chartTrackingRefBased/>
  <w15:docId w15:val="{3881419A-DDF7-43AD-AAAD-62144953E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B8A"/>
    <w:pPr>
      <w:spacing w:after="0" w:line="240" w:lineRule="auto"/>
    </w:pPr>
    <w:rPr>
      <w:rFonts w:ascii="Book Antiqua" w:eastAsia="Cordia New" w:hAnsi="Book Antiqua" w:cs="Cordia New"/>
      <w:color w:val="000000"/>
      <w:sz w:val="18"/>
      <w:szCs w:val="18"/>
    </w:rPr>
  </w:style>
  <w:style w:type="paragraph" w:styleId="Heading3">
    <w:name w:val="heading 3"/>
    <w:basedOn w:val="Normal"/>
    <w:next w:val="Normal"/>
    <w:link w:val="Heading3Char"/>
    <w:qFormat/>
    <w:rsid w:val="00657954"/>
    <w:pPr>
      <w:keepNext/>
      <w:spacing w:before="240" w:after="60"/>
      <w:outlineLvl w:val="2"/>
    </w:pPr>
    <w:rPr>
      <w:rFonts w:ascii="Cambria" w:eastAsia="Times New Roman" w:hAnsi="Cambria" w:cs="Angsana New"/>
      <w:b/>
      <w:bCs/>
      <w:color w:val="auto"/>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93B26"/>
    <w:pPr>
      <w:tabs>
        <w:tab w:val="center" w:pos="4153"/>
        <w:tab w:val="right" w:pos="8306"/>
      </w:tabs>
    </w:pPr>
  </w:style>
  <w:style w:type="character" w:customStyle="1" w:styleId="FooterChar">
    <w:name w:val="Footer Char"/>
    <w:basedOn w:val="DefaultParagraphFont"/>
    <w:link w:val="Footer"/>
    <w:uiPriority w:val="99"/>
    <w:rsid w:val="00093B26"/>
    <w:rPr>
      <w:rFonts w:ascii="Book Antiqua" w:eastAsia="Cordia New" w:hAnsi="Book Antiqua" w:cs="Cordia New"/>
      <w:color w:val="000000"/>
      <w:sz w:val="18"/>
      <w:szCs w:val="18"/>
    </w:rPr>
  </w:style>
  <w:style w:type="paragraph" w:customStyle="1" w:styleId="Default">
    <w:name w:val="Default"/>
    <w:rsid w:val="00093B26"/>
    <w:pPr>
      <w:autoSpaceDE w:val="0"/>
      <w:autoSpaceDN w:val="0"/>
      <w:adjustRightInd w:val="0"/>
      <w:spacing w:after="0" w:line="240" w:lineRule="auto"/>
    </w:pPr>
    <w:rPr>
      <w:rFonts w:ascii="Arial" w:eastAsia="Calibri" w:hAnsi="Arial" w:cs="Arial"/>
      <w:color w:val="000000"/>
      <w:sz w:val="24"/>
      <w:szCs w:val="24"/>
    </w:rPr>
  </w:style>
  <w:style w:type="paragraph" w:customStyle="1" w:styleId="RNormal">
    <w:name w:val="RNormal"/>
    <w:basedOn w:val="Normal"/>
    <w:rsid w:val="00093B26"/>
    <w:pPr>
      <w:jc w:val="both"/>
    </w:pPr>
    <w:rPr>
      <w:rFonts w:ascii="Times New Roman" w:eastAsia="Times New Roman" w:hAnsi="Times New Roman" w:cs="Times New Roman"/>
      <w:color w:val="auto"/>
      <w:sz w:val="22"/>
      <w:szCs w:val="24"/>
      <w:lang w:bidi="ar-SA"/>
    </w:rPr>
  </w:style>
  <w:style w:type="paragraph" w:styleId="ListParagraph">
    <w:name w:val="List Paragraph"/>
    <w:basedOn w:val="Normal"/>
    <w:uiPriority w:val="34"/>
    <w:qFormat/>
    <w:rsid w:val="00093B26"/>
    <w:pPr>
      <w:spacing w:after="200" w:line="276" w:lineRule="auto"/>
      <w:ind w:left="720"/>
      <w:contextualSpacing/>
    </w:pPr>
    <w:rPr>
      <w:rFonts w:ascii="Calibri" w:eastAsia="Calibri" w:hAnsi="Calibri"/>
      <w:color w:val="auto"/>
      <w:sz w:val="22"/>
      <w:szCs w:val="28"/>
    </w:rPr>
  </w:style>
  <w:style w:type="paragraph" w:customStyle="1" w:styleId="a">
    <w:name w:val="เนื้อเรื่อง"/>
    <w:basedOn w:val="Normal"/>
    <w:rsid w:val="00093B26"/>
    <w:pPr>
      <w:spacing w:before="240" w:line="340" w:lineRule="exact"/>
      <w:ind w:right="386"/>
      <w:jc w:val="both"/>
    </w:pPr>
    <w:rPr>
      <w:rFonts w:ascii="Times New Roman" w:eastAsia="Times New Roman" w:hAnsi="Times New Roman" w:cs="Angsana New"/>
      <w:color w:val="auto"/>
      <w:sz w:val="28"/>
      <w:szCs w:val="28"/>
    </w:rPr>
  </w:style>
  <w:style w:type="paragraph" w:customStyle="1" w:styleId="ps-000-normal">
    <w:name w:val="ps-000-normal"/>
    <w:basedOn w:val="Normal"/>
    <w:rsid w:val="00093B26"/>
    <w:pPr>
      <w:spacing w:after="120"/>
    </w:pPr>
    <w:rPr>
      <w:rFonts w:ascii="Verdana" w:eastAsia="Times New Roman" w:hAnsi="Verdana" w:cs="Times New Roman"/>
      <w:sz w:val="20"/>
      <w:szCs w:val="20"/>
    </w:rPr>
  </w:style>
  <w:style w:type="paragraph" w:customStyle="1" w:styleId="T">
    <w:name w:val="????? T"/>
    <w:basedOn w:val="Normal"/>
    <w:rsid w:val="00DE6308"/>
    <w:pPr>
      <w:ind w:left="5040" w:right="540"/>
      <w:jc w:val="center"/>
    </w:pPr>
    <w:rPr>
      <w:rFonts w:ascii="Times New Roman" w:eastAsia="Times New Roman" w:hAnsi="Times New Roman" w:cs="BrowalliaUPC"/>
      <w:color w:val="auto"/>
      <w:sz w:val="30"/>
      <w:szCs w:val="30"/>
      <w:lang w:val="th-TH"/>
    </w:rPr>
  </w:style>
  <w:style w:type="paragraph" w:styleId="Header">
    <w:name w:val="header"/>
    <w:basedOn w:val="Normal"/>
    <w:link w:val="HeaderChar"/>
    <w:uiPriority w:val="99"/>
    <w:unhideWhenUsed/>
    <w:rsid w:val="003742DA"/>
    <w:pPr>
      <w:tabs>
        <w:tab w:val="center" w:pos="4680"/>
        <w:tab w:val="right" w:pos="9360"/>
      </w:tabs>
    </w:pPr>
    <w:rPr>
      <w:szCs w:val="22"/>
    </w:rPr>
  </w:style>
  <w:style w:type="character" w:customStyle="1" w:styleId="HeaderChar">
    <w:name w:val="Header Char"/>
    <w:basedOn w:val="DefaultParagraphFont"/>
    <w:link w:val="Header"/>
    <w:uiPriority w:val="99"/>
    <w:rsid w:val="003742DA"/>
    <w:rPr>
      <w:rFonts w:ascii="Book Antiqua" w:eastAsia="Cordia New" w:hAnsi="Book Antiqua" w:cs="Cordia New"/>
      <w:color w:val="000000"/>
      <w:sz w:val="18"/>
      <w:szCs w:val="22"/>
    </w:rPr>
  </w:style>
  <w:style w:type="character" w:customStyle="1" w:styleId="Heading3Char">
    <w:name w:val="Heading 3 Char"/>
    <w:basedOn w:val="DefaultParagraphFont"/>
    <w:link w:val="Heading3"/>
    <w:rsid w:val="00657954"/>
    <w:rPr>
      <w:rFonts w:ascii="Cambria" w:eastAsia="Times New Roman" w:hAnsi="Cambria" w:cs="Angsana New"/>
      <w:b/>
      <w:bCs/>
      <w:sz w:val="26"/>
      <w:szCs w:val="33"/>
      <w:lang w:val="en-GB" w:eastAsia="x-none"/>
    </w:rPr>
  </w:style>
  <w:style w:type="table" w:styleId="TableGrid">
    <w:name w:val="Table Grid"/>
    <w:basedOn w:val="TableNormal"/>
    <w:uiPriority w:val="59"/>
    <w:rsid w:val="006579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269568">
      <w:bodyDiv w:val="1"/>
      <w:marLeft w:val="0"/>
      <w:marRight w:val="0"/>
      <w:marTop w:val="0"/>
      <w:marBottom w:val="0"/>
      <w:divBdr>
        <w:top w:val="none" w:sz="0" w:space="0" w:color="auto"/>
        <w:left w:val="none" w:sz="0" w:space="0" w:color="auto"/>
        <w:bottom w:val="none" w:sz="0" w:space="0" w:color="auto"/>
        <w:right w:val="none" w:sz="0" w:space="0" w:color="auto"/>
      </w:divBdr>
    </w:div>
    <w:div w:id="1059281548">
      <w:bodyDiv w:val="1"/>
      <w:marLeft w:val="0"/>
      <w:marRight w:val="0"/>
      <w:marTop w:val="0"/>
      <w:marBottom w:val="0"/>
      <w:divBdr>
        <w:top w:val="none" w:sz="0" w:space="0" w:color="auto"/>
        <w:left w:val="none" w:sz="0" w:space="0" w:color="auto"/>
        <w:bottom w:val="none" w:sz="0" w:space="0" w:color="auto"/>
        <w:right w:val="none" w:sz="0" w:space="0" w:color="auto"/>
      </w:divBdr>
    </w:div>
    <w:div w:id="157412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image" Target="media/image2.png"/><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74F9BB-DF18-423B-87FF-D1190DB20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2253</Words>
  <Characters>12848</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thanawat paknonkul</dc:creator>
  <cp:keywords/>
  <dc:description/>
  <cp:lastModifiedBy>Tanat Lueangnakphaisan</cp:lastModifiedBy>
  <cp:revision>39</cp:revision>
  <cp:lastPrinted>2024-02-20T11:03:00Z</cp:lastPrinted>
  <dcterms:created xsi:type="dcterms:W3CDTF">2023-12-06T04:01:00Z</dcterms:created>
  <dcterms:modified xsi:type="dcterms:W3CDTF">2026-02-27T06:47:00Z</dcterms:modified>
</cp:coreProperties>
</file>