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8522" w14:textId="5FC48F08" w:rsidR="00A14546" w:rsidRPr="00983F7E" w:rsidRDefault="00A14546" w:rsidP="00A14546">
      <w:pPr>
        <w:spacing w:after="240" w:line="380" w:lineRule="exact"/>
        <w:ind w:right="-45"/>
        <w:rPr>
          <w:rFonts w:asciiTheme="majorBidi" w:eastAsia="Arial Unicode MS" w:hAnsiTheme="majorBidi" w:cstheme="majorBidi"/>
          <w:b/>
          <w:bCs/>
          <w:sz w:val="28"/>
          <w:szCs w:val="28"/>
        </w:rPr>
      </w:pPr>
      <w:r w:rsidRPr="00983F7E">
        <w:rPr>
          <w:rFonts w:asciiTheme="majorBidi" w:hAnsiTheme="majorBidi" w:cstheme="majorBidi"/>
          <w:b/>
          <w:bCs/>
          <w:sz w:val="28"/>
          <w:szCs w:val="28"/>
        </w:rPr>
        <w:t>Independent Auditor’s Report</w:t>
      </w:r>
    </w:p>
    <w:p w14:paraId="4AC39138" w14:textId="0A7365AE" w:rsidR="00B33D94" w:rsidRPr="00983F7E" w:rsidRDefault="00B33D94" w:rsidP="00B33D94">
      <w:pPr>
        <w:spacing w:before="360" w:line="240" w:lineRule="exact"/>
        <w:jc w:val="both"/>
        <w:rPr>
          <w:rFonts w:ascii="Angsana New" w:hAnsi="Angsana New"/>
          <w:b/>
          <w:bCs/>
          <w:kern w:val="8"/>
          <w:sz w:val="28"/>
          <w:szCs w:val="28"/>
          <w:lang w:val="en-GB"/>
        </w:rPr>
      </w:pPr>
      <w:r w:rsidRPr="00983F7E">
        <w:rPr>
          <w:rFonts w:ascii="Angsana New" w:hAnsi="Angsana New"/>
          <w:b/>
          <w:bCs/>
          <w:kern w:val="8"/>
          <w:sz w:val="28"/>
          <w:szCs w:val="28"/>
          <w:lang w:val="en-GB" w:bidi="he-IL"/>
        </w:rPr>
        <w:t xml:space="preserve">To the Shareholders of </w:t>
      </w:r>
      <w:bookmarkStart w:id="0" w:name="_Hlk3903067"/>
      <w:r w:rsidR="00C55462" w:rsidRPr="00983F7E">
        <w:rPr>
          <w:rFonts w:ascii="Angsana New" w:hAnsi="Angsana New"/>
          <w:b/>
          <w:bCs/>
          <w:kern w:val="8"/>
          <w:sz w:val="28"/>
          <w:szCs w:val="28"/>
          <w:lang w:val="en-GB" w:bidi="he-IL"/>
        </w:rPr>
        <w:t xml:space="preserve">Charan </w:t>
      </w:r>
      <w:r w:rsidRPr="00983F7E">
        <w:rPr>
          <w:rFonts w:ascii="Angsana New" w:hAnsi="Angsana New"/>
          <w:b/>
          <w:bCs/>
          <w:kern w:val="8"/>
          <w:sz w:val="28"/>
          <w:szCs w:val="28"/>
          <w:lang w:val="en-GB" w:bidi="he-IL"/>
        </w:rPr>
        <w:t>Insurance Public Company Limited</w:t>
      </w:r>
      <w:bookmarkEnd w:id="0"/>
    </w:p>
    <w:p w14:paraId="6B044B6E" w14:textId="549D2888" w:rsidR="001B65E9" w:rsidRPr="00983F7E" w:rsidRDefault="001B65E9" w:rsidP="00B33D94">
      <w:pPr>
        <w:spacing w:before="360" w:line="240" w:lineRule="exact"/>
        <w:jc w:val="both"/>
        <w:rPr>
          <w:rFonts w:ascii="Angsana New" w:hAnsi="Angsana New"/>
          <w:b/>
          <w:bCs/>
          <w:kern w:val="8"/>
          <w:sz w:val="28"/>
          <w:szCs w:val="28"/>
          <w:lang w:val="en-GB"/>
        </w:rPr>
      </w:pPr>
      <w:r w:rsidRPr="00983F7E">
        <w:rPr>
          <w:rFonts w:ascii="Angsana New" w:hAnsi="Angsana New"/>
          <w:b/>
          <w:bCs/>
          <w:kern w:val="8"/>
          <w:sz w:val="28"/>
          <w:szCs w:val="28"/>
          <w:lang w:val="en-GB"/>
        </w:rPr>
        <w:t>Opinion</w:t>
      </w:r>
    </w:p>
    <w:p w14:paraId="51DF1C68" w14:textId="454A122F" w:rsidR="00BB0070" w:rsidRPr="00983F7E" w:rsidRDefault="00BB0070" w:rsidP="00BB0070">
      <w:pPr>
        <w:overflowPunct/>
        <w:autoSpaceDE/>
        <w:autoSpaceDN/>
        <w:adjustRightInd/>
        <w:spacing w:before="240" w:after="120"/>
        <w:jc w:val="thaiDistribute"/>
        <w:textAlignment w:val="auto"/>
        <w:rPr>
          <w:rFonts w:asciiTheme="majorBidi" w:hAnsiTheme="majorBidi" w:cstheme="majorBidi"/>
          <w:noProof/>
          <w:spacing w:val="-2"/>
          <w:sz w:val="28"/>
          <w:szCs w:val="28"/>
        </w:rPr>
      </w:pPr>
      <w:r w:rsidRPr="00983F7E">
        <w:rPr>
          <w:rFonts w:asciiTheme="majorBidi" w:hAnsiTheme="majorBidi" w:cstheme="majorBidi"/>
          <w:noProof/>
          <w:spacing w:val="-2"/>
          <w:sz w:val="28"/>
          <w:szCs w:val="28"/>
        </w:rPr>
        <w:t xml:space="preserve">I have audited the accompanying financial statements </w:t>
      </w:r>
      <w:r w:rsidR="001B0B2E" w:rsidRPr="00983F7E">
        <w:rPr>
          <w:rFonts w:asciiTheme="majorBidi" w:hAnsiTheme="majorBidi" w:cstheme="majorBidi"/>
          <w:noProof/>
          <w:spacing w:val="-2"/>
          <w:sz w:val="28"/>
          <w:szCs w:val="28"/>
        </w:rPr>
        <w:t xml:space="preserve">of </w:t>
      </w:r>
      <w:r w:rsidR="00C55462" w:rsidRPr="00983F7E">
        <w:rPr>
          <w:rFonts w:asciiTheme="majorBidi" w:hAnsiTheme="majorBidi" w:cstheme="majorBidi"/>
          <w:noProof/>
          <w:spacing w:val="-2"/>
          <w:sz w:val="28"/>
          <w:szCs w:val="28"/>
        </w:rPr>
        <w:t>Charan</w:t>
      </w:r>
      <w:r w:rsidR="001B0B2E" w:rsidRPr="00983F7E">
        <w:rPr>
          <w:rFonts w:asciiTheme="majorBidi" w:hAnsiTheme="majorBidi" w:cstheme="majorBidi"/>
          <w:noProof/>
          <w:spacing w:val="-2"/>
          <w:sz w:val="28"/>
          <w:szCs w:val="28"/>
        </w:rPr>
        <w:t xml:space="preserve"> Insurance Public Company Limited (“the Company”), </w:t>
      </w:r>
      <w:r w:rsidRPr="00983F7E">
        <w:rPr>
          <w:rFonts w:asciiTheme="majorBidi" w:hAnsiTheme="majorBidi" w:cstheme="majorBidi"/>
          <w:noProof/>
          <w:spacing w:val="-2"/>
          <w:sz w:val="28"/>
          <w:szCs w:val="28"/>
        </w:rPr>
        <w:t>which comprise the statement of financial position as at 31 December 202</w:t>
      </w:r>
      <w:r w:rsidR="00D26926">
        <w:rPr>
          <w:rFonts w:asciiTheme="majorBidi" w:hAnsiTheme="majorBidi" w:cstheme="majorBidi"/>
          <w:noProof/>
          <w:spacing w:val="-2"/>
          <w:sz w:val="28"/>
          <w:szCs w:val="28"/>
        </w:rPr>
        <w:t>5</w:t>
      </w:r>
      <w:r w:rsidRPr="00983F7E">
        <w:rPr>
          <w:rFonts w:asciiTheme="majorBidi" w:hAnsiTheme="majorBidi" w:cstheme="majorBidi"/>
          <w:noProof/>
          <w:spacing w:val="-2"/>
          <w:sz w:val="28"/>
          <w:szCs w:val="28"/>
        </w:rPr>
        <w:t xml:space="preserve">, and the related statements of </w:t>
      </w:r>
      <w:r w:rsidR="004C110C">
        <w:rPr>
          <w:rFonts w:asciiTheme="majorBidi" w:hAnsiTheme="majorBidi" w:cstheme="majorBidi"/>
          <w:noProof/>
          <w:spacing w:val="-2"/>
          <w:sz w:val="28"/>
          <w:szCs w:val="28"/>
        </w:rPr>
        <w:t xml:space="preserve">income, </w:t>
      </w:r>
      <w:r w:rsidRPr="00983F7E">
        <w:rPr>
          <w:rFonts w:asciiTheme="majorBidi" w:hAnsiTheme="majorBidi" w:cstheme="majorBidi"/>
          <w:noProof/>
          <w:spacing w:val="-2"/>
          <w:sz w:val="28"/>
          <w:szCs w:val="28"/>
        </w:rPr>
        <w:t xml:space="preserve">comprehensive income, changes in equity and cash flows for the year then ended, and notes to the financial statements, including </w:t>
      </w:r>
      <w:r w:rsidR="00E57A16">
        <w:rPr>
          <w:rFonts w:asciiTheme="majorBidi" w:hAnsiTheme="majorBidi" w:cstheme="majorBidi"/>
          <w:noProof/>
          <w:spacing w:val="-2"/>
          <w:sz w:val="28"/>
          <w:szCs w:val="28"/>
        </w:rPr>
        <w:t>material</w:t>
      </w:r>
      <w:r w:rsidRPr="00983F7E">
        <w:rPr>
          <w:rFonts w:asciiTheme="majorBidi" w:hAnsiTheme="majorBidi" w:cstheme="majorBidi"/>
          <w:noProof/>
          <w:spacing w:val="-2"/>
          <w:sz w:val="28"/>
          <w:szCs w:val="28"/>
        </w:rPr>
        <w:t xml:space="preserve"> accounting policies</w:t>
      </w:r>
      <w:r w:rsidR="00E57A16">
        <w:rPr>
          <w:rFonts w:asciiTheme="majorBidi" w:hAnsiTheme="majorBidi" w:cstheme="majorBidi"/>
          <w:noProof/>
          <w:spacing w:val="-2"/>
          <w:sz w:val="28"/>
          <w:szCs w:val="28"/>
        </w:rPr>
        <w:t xml:space="preserve"> information</w:t>
      </w:r>
      <w:r w:rsidRPr="00983F7E">
        <w:rPr>
          <w:rFonts w:asciiTheme="majorBidi" w:hAnsiTheme="majorBidi" w:cstheme="majorBidi"/>
          <w:noProof/>
          <w:spacing w:val="-2"/>
          <w:sz w:val="28"/>
          <w:szCs w:val="28"/>
        </w:rPr>
        <w:t xml:space="preserve">. </w:t>
      </w:r>
    </w:p>
    <w:p w14:paraId="6BB98AEC" w14:textId="6EB376DF" w:rsidR="00BB0070" w:rsidRPr="00983F7E" w:rsidRDefault="00BB0070" w:rsidP="00BB0070">
      <w:pPr>
        <w:overflowPunct/>
        <w:autoSpaceDE/>
        <w:autoSpaceDN/>
        <w:adjustRightInd/>
        <w:spacing w:before="240" w:after="120"/>
        <w:jc w:val="thaiDistribute"/>
        <w:textAlignment w:val="auto"/>
        <w:rPr>
          <w:rFonts w:asciiTheme="majorBidi" w:hAnsiTheme="majorBidi" w:cstheme="majorBidi"/>
          <w:noProof/>
          <w:spacing w:val="-2"/>
          <w:sz w:val="28"/>
          <w:szCs w:val="28"/>
        </w:rPr>
      </w:pPr>
      <w:r w:rsidRPr="00983F7E">
        <w:rPr>
          <w:rFonts w:asciiTheme="majorBidi" w:hAnsiTheme="majorBidi" w:cstheme="majorBidi"/>
          <w:noProof/>
          <w:spacing w:val="-2"/>
          <w:sz w:val="28"/>
          <w:szCs w:val="28"/>
        </w:rPr>
        <w:t xml:space="preserve">In my opinion, the financial statements referred to above present fairly, in all material respects, the financial position of </w:t>
      </w:r>
      <w:r w:rsidR="007407C3" w:rsidRPr="00983F7E">
        <w:rPr>
          <w:rFonts w:asciiTheme="majorBidi" w:hAnsiTheme="majorBidi" w:cstheme="majorBidi"/>
          <w:noProof/>
          <w:spacing w:val="-2"/>
          <w:sz w:val="28"/>
          <w:szCs w:val="28"/>
        </w:rPr>
        <w:t>Charan Insurance Public Company Limited</w:t>
      </w:r>
      <w:r w:rsidRPr="00983F7E">
        <w:rPr>
          <w:rFonts w:asciiTheme="majorBidi" w:hAnsiTheme="majorBidi" w:cstheme="majorBidi"/>
          <w:noProof/>
          <w:spacing w:val="-2"/>
          <w:sz w:val="28"/>
          <w:szCs w:val="28"/>
        </w:rPr>
        <w:t xml:space="preserve"> as at 31 December 202</w:t>
      </w:r>
      <w:r w:rsidR="00D26926">
        <w:rPr>
          <w:rFonts w:asciiTheme="majorBidi" w:hAnsiTheme="majorBidi" w:cstheme="majorBidi"/>
          <w:noProof/>
          <w:spacing w:val="-2"/>
          <w:sz w:val="28"/>
          <w:szCs w:val="28"/>
        </w:rPr>
        <w:t>5</w:t>
      </w:r>
      <w:r w:rsidRPr="00983F7E">
        <w:rPr>
          <w:rFonts w:asciiTheme="majorBidi" w:hAnsiTheme="majorBidi" w:cstheme="majorBidi"/>
          <w:noProof/>
          <w:spacing w:val="-2"/>
          <w:sz w:val="28"/>
          <w:szCs w:val="28"/>
        </w:rPr>
        <w:t>, and its financial performance and cash flows for the year then ended in accordance with Thai Financial Reporting Standards.</w:t>
      </w:r>
    </w:p>
    <w:p w14:paraId="5B546AC1" w14:textId="107B780F" w:rsidR="00413C22" w:rsidRPr="00983F7E" w:rsidRDefault="001B65E9" w:rsidP="00BB0070">
      <w:pPr>
        <w:overflowPunct/>
        <w:autoSpaceDE/>
        <w:autoSpaceDN/>
        <w:adjustRightInd/>
        <w:spacing w:before="240" w:after="120"/>
        <w:jc w:val="thaiDistribute"/>
        <w:textAlignment w:val="auto"/>
        <w:rPr>
          <w:rFonts w:asciiTheme="majorBidi" w:hAnsiTheme="majorBidi" w:cstheme="majorBidi"/>
          <w:b/>
          <w:bCs/>
          <w:sz w:val="28"/>
          <w:szCs w:val="28"/>
        </w:rPr>
      </w:pPr>
      <w:r w:rsidRPr="00983F7E">
        <w:rPr>
          <w:rFonts w:asciiTheme="majorBidi" w:hAnsiTheme="majorBidi" w:cstheme="majorBidi"/>
          <w:b/>
          <w:bCs/>
          <w:sz w:val="28"/>
          <w:szCs w:val="28"/>
        </w:rPr>
        <w:t>Basis for opinion</w:t>
      </w:r>
      <w:r w:rsidR="00413C22" w:rsidRPr="00983F7E">
        <w:rPr>
          <w:rFonts w:asciiTheme="majorBidi" w:hAnsiTheme="majorBidi" w:cstheme="majorBidi"/>
          <w:b/>
          <w:bCs/>
          <w:sz w:val="28"/>
          <w:szCs w:val="28"/>
        </w:rPr>
        <w:t xml:space="preserve"> </w:t>
      </w:r>
    </w:p>
    <w:p w14:paraId="509047F4" w14:textId="48CEDAFC" w:rsidR="00413C22" w:rsidRDefault="007407C3" w:rsidP="00413C22">
      <w:pPr>
        <w:overflowPunct/>
        <w:autoSpaceDE/>
        <w:autoSpaceDN/>
        <w:adjustRightInd/>
        <w:jc w:val="thaiDistribute"/>
        <w:textAlignment w:val="auto"/>
        <w:rPr>
          <w:rFonts w:asciiTheme="majorBidi" w:hAnsiTheme="majorBidi" w:cstheme="majorBidi"/>
          <w:sz w:val="28"/>
          <w:szCs w:val="28"/>
        </w:rPr>
      </w:pPr>
      <w:r w:rsidRPr="00983F7E">
        <w:rPr>
          <w:rFonts w:asciiTheme="majorBidi" w:hAnsiTheme="majorBidi" w:cstheme="majorBidi"/>
          <w:sz w:val="28"/>
          <w:szCs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CE38FF9" w14:textId="77777777" w:rsidR="004E21C6" w:rsidRDefault="004E21C6" w:rsidP="00413C22">
      <w:pPr>
        <w:overflowPunct/>
        <w:autoSpaceDE/>
        <w:autoSpaceDN/>
        <w:adjustRightInd/>
        <w:jc w:val="thaiDistribute"/>
        <w:textAlignment w:val="auto"/>
        <w:rPr>
          <w:rFonts w:asciiTheme="majorBidi" w:hAnsiTheme="majorBidi" w:cstheme="majorBidi"/>
          <w:sz w:val="28"/>
          <w:szCs w:val="28"/>
        </w:rPr>
      </w:pPr>
    </w:p>
    <w:p w14:paraId="000DC6CE" w14:textId="77777777" w:rsidR="004E21C6" w:rsidRDefault="004E21C6" w:rsidP="00413C22">
      <w:pPr>
        <w:overflowPunct/>
        <w:autoSpaceDE/>
        <w:autoSpaceDN/>
        <w:adjustRightInd/>
        <w:jc w:val="thaiDistribute"/>
        <w:textAlignment w:val="auto"/>
        <w:rPr>
          <w:rFonts w:asciiTheme="majorBidi" w:hAnsiTheme="majorBidi" w:cstheme="majorBidi"/>
          <w:sz w:val="28"/>
          <w:szCs w:val="28"/>
        </w:rPr>
      </w:pPr>
    </w:p>
    <w:p w14:paraId="5FFC413A" w14:textId="77777777" w:rsidR="004E21C6" w:rsidRDefault="004E21C6" w:rsidP="00413C22">
      <w:pPr>
        <w:overflowPunct/>
        <w:autoSpaceDE/>
        <w:autoSpaceDN/>
        <w:adjustRightInd/>
        <w:jc w:val="thaiDistribute"/>
        <w:textAlignment w:val="auto"/>
        <w:rPr>
          <w:rFonts w:asciiTheme="majorBidi" w:hAnsiTheme="majorBidi" w:cstheme="majorBidi"/>
          <w:sz w:val="28"/>
          <w:szCs w:val="28"/>
        </w:rPr>
      </w:pPr>
    </w:p>
    <w:p w14:paraId="409898A1" w14:textId="77777777" w:rsidR="004E21C6" w:rsidRDefault="004E21C6" w:rsidP="00413C22">
      <w:pPr>
        <w:overflowPunct/>
        <w:autoSpaceDE/>
        <w:autoSpaceDN/>
        <w:adjustRightInd/>
        <w:jc w:val="thaiDistribute"/>
        <w:textAlignment w:val="auto"/>
        <w:rPr>
          <w:rFonts w:asciiTheme="majorBidi" w:hAnsiTheme="majorBidi" w:cstheme="majorBidi"/>
          <w:sz w:val="28"/>
          <w:szCs w:val="28"/>
        </w:rPr>
      </w:pPr>
    </w:p>
    <w:p w14:paraId="3DE20439" w14:textId="77777777" w:rsidR="004E21C6" w:rsidRDefault="004E21C6" w:rsidP="00413C22">
      <w:pPr>
        <w:overflowPunct/>
        <w:autoSpaceDE/>
        <w:autoSpaceDN/>
        <w:adjustRightInd/>
        <w:jc w:val="thaiDistribute"/>
        <w:textAlignment w:val="auto"/>
        <w:rPr>
          <w:rFonts w:asciiTheme="majorBidi" w:hAnsiTheme="majorBidi" w:cstheme="majorBidi"/>
          <w:sz w:val="28"/>
          <w:szCs w:val="28"/>
        </w:rPr>
      </w:pPr>
    </w:p>
    <w:p w14:paraId="0AA1AD25" w14:textId="77777777" w:rsidR="004E21C6" w:rsidRDefault="004E21C6" w:rsidP="00413C22">
      <w:pPr>
        <w:overflowPunct/>
        <w:autoSpaceDE/>
        <w:autoSpaceDN/>
        <w:adjustRightInd/>
        <w:jc w:val="thaiDistribute"/>
        <w:textAlignment w:val="auto"/>
        <w:rPr>
          <w:rFonts w:asciiTheme="majorBidi" w:hAnsiTheme="majorBidi" w:cstheme="majorBidi"/>
          <w:sz w:val="28"/>
          <w:szCs w:val="28"/>
        </w:rPr>
      </w:pPr>
    </w:p>
    <w:p w14:paraId="6D1076AA" w14:textId="77777777" w:rsidR="004E21C6" w:rsidRDefault="004E21C6" w:rsidP="00413C22">
      <w:pPr>
        <w:overflowPunct/>
        <w:autoSpaceDE/>
        <w:autoSpaceDN/>
        <w:adjustRightInd/>
        <w:jc w:val="thaiDistribute"/>
        <w:textAlignment w:val="auto"/>
        <w:rPr>
          <w:rFonts w:asciiTheme="majorBidi" w:hAnsiTheme="majorBidi" w:cstheme="majorBidi"/>
          <w:sz w:val="28"/>
          <w:szCs w:val="28"/>
        </w:rPr>
      </w:pPr>
    </w:p>
    <w:p w14:paraId="7E12EDCE" w14:textId="77777777" w:rsidR="004E21C6" w:rsidRDefault="004E21C6" w:rsidP="00413C22">
      <w:pPr>
        <w:overflowPunct/>
        <w:autoSpaceDE/>
        <w:autoSpaceDN/>
        <w:adjustRightInd/>
        <w:jc w:val="thaiDistribute"/>
        <w:textAlignment w:val="auto"/>
        <w:rPr>
          <w:rFonts w:asciiTheme="majorBidi" w:hAnsiTheme="majorBidi" w:cstheme="majorBidi"/>
          <w:sz w:val="28"/>
          <w:szCs w:val="28"/>
        </w:rPr>
      </w:pPr>
    </w:p>
    <w:p w14:paraId="44E2157B" w14:textId="77777777" w:rsidR="004E21C6" w:rsidRDefault="004E21C6" w:rsidP="00413C22">
      <w:pPr>
        <w:overflowPunct/>
        <w:autoSpaceDE/>
        <w:autoSpaceDN/>
        <w:adjustRightInd/>
        <w:jc w:val="thaiDistribute"/>
        <w:textAlignment w:val="auto"/>
        <w:rPr>
          <w:rFonts w:asciiTheme="majorBidi" w:hAnsiTheme="majorBidi" w:cstheme="majorBidi"/>
          <w:sz w:val="28"/>
          <w:szCs w:val="28"/>
        </w:rPr>
      </w:pPr>
    </w:p>
    <w:p w14:paraId="4333470C" w14:textId="77777777" w:rsidR="006A547C" w:rsidRDefault="006A547C" w:rsidP="00413C22">
      <w:pPr>
        <w:overflowPunct/>
        <w:autoSpaceDE/>
        <w:autoSpaceDN/>
        <w:adjustRightInd/>
        <w:jc w:val="thaiDistribute"/>
        <w:textAlignment w:val="auto"/>
        <w:rPr>
          <w:rFonts w:asciiTheme="majorBidi" w:hAnsiTheme="majorBidi" w:cstheme="majorBidi"/>
          <w:sz w:val="28"/>
          <w:szCs w:val="28"/>
        </w:rPr>
      </w:pPr>
    </w:p>
    <w:p w14:paraId="13CA8AA4" w14:textId="0654524D" w:rsidR="00E054B2" w:rsidRDefault="00E054B2" w:rsidP="00E054B2">
      <w:pPr>
        <w:overflowPunct/>
        <w:autoSpaceDE/>
        <w:autoSpaceDN/>
        <w:adjustRightInd/>
        <w:spacing w:before="120" w:after="120"/>
        <w:textAlignment w:val="auto"/>
        <w:rPr>
          <w:rFonts w:asciiTheme="majorBidi" w:hAnsiTheme="majorBidi" w:cstheme="majorBidi"/>
          <w:b/>
          <w:bCs/>
          <w:sz w:val="28"/>
          <w:szCs w:val="28"/>
        </w:rPr>
      </w:pPr>
      <w:r w:rsidRPr="00E054B2">
        <w:rPr>
          <w:rFonts w:asciiTheme="majorBidi" w:hAnsiTheme="majorBidi" w:cstheme="majorBidi"/>
          <w:b/>
          <w:bCs/>
          <w:sz w:val="28"/>
          <w:szCs w:val="28"/>
        </w:rPr>
        <w:lastRenderedPageBreak/>
        <w:t>Emphasis of matter</w:t>
      </w:r>
    </w:p>
    <w:p w14:paraId="207CA356" w14:textId="35F13E6F" w:rsidR="00AA07C1" w:rsidRPr="00AA07C1" w:rsidRDefault="00AA07C1" w:rsidP="00AA07C1">
      <w:pPr>
        <w:overflowPunct/>
        <w:autoSpaceDE/>
        <w:autoSpaceDN/>
        <w:adjustRightInd/>
        <w:jc w:val="thaiDistribute"/>
        <w:textAlignment w:val="auto"/>
        <w:rPr>
          <w:rFonts w:asciiTheme="majorBidi" w:hAnsiTheme="majorBidi" w:cstheme="majorBidi"/>
          <w:sz w:val="28"/>
          <w:szCs w:val="28"/>
        </w:rPr>
      </w:pPr>
      <w:r w:rsidRPr="516E207B">
        <w:rPr>
          <w:rFonts w:asciiTheme="majorBidi" w:hAnsiTheme="majorBidi" w:cstheme="majorBidi"/>
          <w:sz w:val="28"/>
          <w:szCs w:val="28"/>
        </w:rPr>
        <w:t xml:space="preserve">I would like to draw attention to note 2 to the financial statements describing the impact of the adoption of Thai Financial Reporting Standard No. 9 “Financial Instruments”, Thai Financial Reporting Standard No. 7 “Financial Instruments: </w:t>
      </w:r>
      <w:r w:rsidRPr="00AA07C1">
        <w:rPr>
          <w:rFonts w:asciiTheme="majorBidi" w:hAnsiTheme="majorBidi" w:cstheme="majorBidi"/>
          <w:sz w:val="28"/>
          <w:szCs w:val="28"/>
        </w:rPr>
        <w:t>Disclosures”</w:t>
      </w:r>
      <w:r w:rsidRPr="00AA07C1">
        <w:rPr>
          <w:rFonts w:asciiTheme="majorBidi" w:hAnsiTheme="majorBidi" w:cstheme="majorBidi"/>
          <w:sz w:val="28"/>
          <w:szCs w:val="28"/>
          <w:cs/>
        </w:rPr>
        <w:t xml:space="preserve"> </w:t>
      </w:r>
      <w:r w:rsidRPr="00AA07C1">
        <w:rPr>
          <w:rFonts w:asciiTheme="majorBidi" w:hAnsiTheme="majorBidi" w:cstheme="majorBidi"/>
          <w:sz w:val="28"/>
          <w:szCs w:val="28"/>
        </w:rPr>
        <w:t>and Thai Financial Reporting Standard No. 17 “Insurance Contracts”, including amendments to other</w:t>
      </w:r>
      <w:r w:rsidRPr="00AA07C1">
        <w:rPr>
          <w:rFonts w:asciiTheme="majorBidi" w:hAnsiTheme="majorBidi" w:cstheme="majorBidi"/>
          <w:sz w:val="28"/>
          <w:szCs w:val="28"/>
          <w:cs/>
        </w:rPr>
        <w:t xml:space="preserve"> </w:t>
      </w:r>
      <w:r w:rsidRPr="00AA07C1">
        <w:rPr>
          <w:rFonts w:asciiTheme="majorBidi" w:hAnsiTheme="majorBidi" w:cstheme="majorBidi"/>
          <w:sz w:val="28"/>
          <w:szCs w:val="28"/>
        </w:rPr>
        <w:t xml:space="preserve">relevant standards effective from 1 January 2025. The statement of financial position as at 31 December 2024, presented for comparison, forms part of the audited financial statements and has been adjusted as described in </w:t>
      </w:r>
      <w:r w:rsidRPr="00AA07C1" w:rsidDel="00111EA4">
        <w:rPr>
          <w:rFonts w:asciiTheme="majorBidi" w:hAnsiTheme="majorBidi" w:cstheme="majorBidi"/>
          <w:sz w:val="28"/>
          <w:szCs w:val="28"/>
        </w:rPr>
        <w:t xml:space="preserve">note </w:t>
      </w:r>
      <w:r w:rsidRPr="00AA07C1">
        <w:rPr>
          <w:rFonts w:asciiTheme="majorBidi" w:hAnsiTheme="majorBidi" w:cstheme="majorBidi"/>
          <w:sz w:val="28"/>
          <w:szCs w:val="28"/>
        </w:rPr>
        <w:t>2</w:t>
      </w:r>
      <w:r w:rsidR="00E57A16">
        <w:rPr>
          <w:rFonts w:asciiTheme="majorBidi" w:hAnsiTheme="majorBidi" w:cstheme="majorBidi"/>
          <w:sz w:val="28"/>
          <w:szCs w:val="28"/>
        </w:rPr>
        <w:t xml:space="preserve"> to the financial statements</w:t>
      </w:r>
      <w:r w:rsidRPr="00AA07C1">
        <w:rPr>
          <w:rFonts w:asciiTheme="majorBidi" w:hAnsiTheme="majorBidi" w:cstheme="majorBidi"/>
          <w:sz w:val="28"/>
          <w:szCs w:val="28"/>
        </w:rPr>
        <w:t xml:space="preserve">. In addition, the statements of </w:t>
      </w:r>
      <w:r w:rsidR="00E57A16">
        <w:rPr>
          <w:rFonts w:asciiTheme="majorBidi" w:hAnsiTheme="majorBidi" w:cstheme="majorBidi"/>
          <w:sz w:val="28"/>
          <w:szCs w:val="28"/>
        </w:rPr>
        <w:t xml:space="preserve">income, </w:t>
      </w:r>
      <w:r w:rsidRPr="00AA07C1">
        <w:rPr>
          <w:rFonts w:asciiTheme="majorBidi" w:hAnsiTheme="majorBidi" w:cstheme="majorBidi"/>
          <w:sz w:val="28"/>
          <w:szCs w:val="28"/>
        </w:rPr>
        <w:t>comprehensive income, changes in equity, and cash flows for the year then ended, presented for comparison, have been adjusted as described in note 2</w:t>
      </w:r>
      <w:r w:rsidR="00E57A16">
        <w:rPr>
          <w:rFonts w:asciiTheme="majorBidi" w:hAnsiTheme="majorBidi" w:cstheme="majorBidi"/>
          <w:sz w:val="28"/>
          <w:szCs w:val="28"/>
        </w:rPr>
        <w:t xml:space="preserve"> to the financial statements</w:t>
      </w:r>
      <w:r w:rsidRPr="00AA07C1">
        <w:rPr>
          <w:rFonts w:asciiTheme="majorBidi" w:hAnsiTheme="majorBidi" w:cstheme="majorBidi"/>
          <w:sz w:val="28"/>
          <w:szCs w:val="28"/>
        </w:rPr>
        <w:t>.</w:t>
      </w:r>
    </w:p>
    <w:p w14:paraId="6892EBD6" w14:textId="77777777" w:rsidR="00AA07C1" w:rsidRPr="004E21C6" w:rsidRDefault="00AA07C1" w:rsidP="00AA07C1">
      <w:pPr>
        <w:overflowPunct/>
        <w:autoSpaceDE/>
        <w:autoSpaceDN/>
        <w:adjustRightInd/>
        <w:spacing w:before="120" w:after="120"/>
        <w:textAlignment w:val="auto"/>
        <w:rPr>
          <w:rFonts w:asciiTheme="majorBidi" w:hAnsiTheme="majorBidi" w:cstheme="majorBidi"/>
          <w:sz w:val="28"/>
          <w:szCs w:val="28"/>
        </w:rPr>
      </w:pPr>
      <w:r w:rsidRPr="00AA07C1">
        <w:rPr>
          <w:rFonts w:asciiTheme="majorBidi" w:hAnsiTheme="majorBidi" w:cstheme="majorBidi"/>
          <w:sz w:val="28"/>
          <w:szCs w:val="28"/>
        </w:rPr>
        <w:t>My opinion is not modified in respect of this matter.</w:t>
      </w:r>
    </w:p>
    <w:p w14:paraId="5789305B" w14:textId="77777777" w:rsidR="00A73125" w:rsidRPr="009E19B6" w:rsidRDefault="00A73125" w:rsidP="00A73125">
      <w:pPr>
        <w:overflowPunct/>
        <w:autoSpaceDE/>
        <w:autoSpaceDN/>
        <w:adjustRightInd/>
        <w:spacing w:before="120" w:after="120"/>
        <w:textAlignment w:val="auto"/>
        <w:rPr>
          <w:rFonts w:asciiTheme="majorBidi" w:hAnsiTheme="majorBidi" w:cstheme="majorBidi"/>
          <w:b/>
          <w:bCs/>
          <w:sz w:val="28"/>
          <w:szCs w:val="28"/>
        </w:rPr>
      </w:pPr>
      <w:r w:rsidRPr="009E19B6">
        <w:rPr>
          <w:rFonts w:asciiTheme="majorBidi" w:hAnsiTheme="majorBidi" w:cstheme="majorBidi"/>
          <w:b/>
          <w:bCs/>
          <w:sz w:val="28"/>
          <w:szCs w:val="28"/>
        </w:rPr>
        <w:t xml:space="preserve">Key </w:t>
      </w:r>
      <w:r>
        <w:rPr>
          <w:rFonts w:asciiTheme="majorBidi" w:hAnsiTheme="majorBidi" w:cstheme="majorBidi"/>
          <w:b/>
          <w:bCs/>
          <w:sz w:val="28"/>
          <w:szCs w:val="28"/>
        </w:rPr>
        <w:t>a</w:t>
      </w:r>
      <w:r w:rsidRPr="009E19B6">
        <w:rPr>
          <w:rFonts w:asciiTheme="majorBidi" w:hAnsiTheme="majorBidi" w:cstheme="majorBidi"/>
          <w:b/>
          <w:bCs/>
          <w:sz w:val="28"/>
          <w:szCs w:val="28"/>
        </w:rPr>
        <w:t xml:space="preserve">udit </w:t>
      </w:r>
      <w:r>
        <w:rPr>
          <w:rFonts w:asciiTheme="majorBidi" w:hAnsiTheme="majorBidi" w:cstheme="majorBidi"/>
          <w:b/>
          <w:bCs/>
          <w:sz w:val="28"/>
          <w:szCs w:val="28"/>
        </w:rPr>
        <w:t>m</w:t>
      </w:r>
      <w:r w:rsidRPr="009E19B6">
        <w:rPr>
          <w:rFonts w:asciiTheme="majorBidi" w:hAnsiTheme="majorBidi" w:cstheme="majorBidi"/>
          <w:b/>
          <w:bCs/>
          <w:sz w:val="28"/>
          <w:szCs w:val="28"/>
        </w:rPr>
        <w:t xml:space="preserve">atters </w:t>
      </w:r>
    </w:p>
    <w:p w14:paraId="4510E927" w14:textId="77777777" w:rsidR="00A73125" w:rsidRDefault="00A73125" w:rsidP="004B38CC">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Key audit matters are those matters that, in my professional judgment, were of most significance in my audit of the financial statements of the current period. These matters were addressed in the context of </w:t>
      </w:r>
      <w:r>
        <w:rPr>
          <w:rFonts w:asciiTheme="majorBidi" w:hAnsiTheme="majorBidi" w:cstheme="majorBidi"/>
          <w:sz w:val="28"/>
          <w:szCs w:val="28"/>
        </w:rPr>
        <w:t>my</w:t>
      </w:r>
      <w:r w:rsidRPr="009E19B6">
        <w:rPr>
          <w:rFonts w:asciiTheme="majorBidi" w:hAnsiTheme="majorBidi" w:cstheme="majorBidi"/>
          <w:sz w:val="28"/>
          <w:szCs w:val="28"/>
        </w:rPr>
        <w:t xml:space="preserve"> audit of the financial statements as a whole, and in forming my opinion thereon, and I do not provide a separate opinion on these matters.</w:t>
      </w:r>
    </w:p>
    <w:p w14:paraId="12219C61" w14:textId="77777777" w:rsidR="004B38CC" w:rsidRPr="004B38CC" w:rsidRDefault="004B38CC" w:rsidP="004B38CC">
      <w:pPr>
        <w:spacing w:after="120"/>
        <w:ind w:right="-43"/>
        <w:jc w:val="both"/>
        <w:rPr>
          <w:rFonts w:asciiTheme="majorBidi" w:hAnsiTheme="majorBidi" w:cstheme="majorBidi"/>
          <w:sz w:val="28"/>
          <w:szCs w:val="28"/>
        </w:rPr>
      </w:pPr>
      <w:r w:rsidRPr="004B38CC">
        <w:rPr>
          <w:rFonts w:asciiTheme="majorBidi" w:hAnsiTheme="majorBidi" w:cstheme="majorBidi"/>
          <w:sz w:val="28"/>
          <w:szCs w:val="28"/>
        </w:rPr>
        <w:t>I have</w:t>
      </w:r>
      <w:r w:rsidRPr="004B38CC">
        <w:rPr>
          <w:rFonts w:asciiTheme="majorBidi" w:hAnsiTheme="majorBidi" w:cstheme="majorBidi"/>
          <w:sz w:val="28"/>
          <w:szCs w:val="28"/>
          <w:cs/>
          <w:lang w:val="th-TH"/>
        </w:rPr>
        <w:t xml:space="preserve"> </w:t>
      </w:r>
      <w:r w:rsidRPr="004B38CC">
        <w:rPr>
          <w:rFonts w:asciiTheme="majorBidi" w:hAnsiTheme="majorBidi" w:cstheme="majorBidi"/>
          <w:sz w:val="28"/>
          <w:szCs w:val="28"/>
        </w:rPr>
        <w:t>fulfilled the responsibilities described in the Auditor’s Responsibilities for</w:t>
      </w:r>
      <w:r w:rsidRPr="004B38CC">
        <w:rPr>
          <w:rFonts w:asciiTheme="majorBidi" w:hAnsiTheme="majorBidi" w:cstheme="majorBidi"/>
          <w:sz w:val="28"/>
          <w:szCs w:val="28"/>
          <w:cs/>
          <w:lang w:val="th-TH"/>
        </w:rPr>
        <w:t xml:space="preserve"> </w:t>
      </w:r>
      <w:r w:rsidRPr="004B38CC">
        <w:rPr>
          <w:rFonts w:asciiTheme="majorBidi" w:hAnsiTheme="majorBidi" w:cstheme="majorBidi"/>
          <w:sz w:val="28"/>
          <w:szCs w:val="28"/>
        </w:rPr>
        <w:t>the Audit of the Financial Statements section of my report, including in</w:t>
      </w:r>
      <w:r w:rsidRPr="004B38CC">
        <w:rPr>
          <w:rFonts w:asciiTheme="majorBidi" w:hAnsiTheme="majorBidi" w:cstheme="majorBidi"/>
          <w:sz w:val="28"/>
          <w:szCs w:val="28"/>
          <w:cs/>
          <w:lang w:val="th-TH"/>
        </w:rPr>
        <w:t xml:space="preserve"> </w:t>
      </w:r>
      <w:r w:rsidRPr="004B38CC">
        <w:rPr>
          <w:rFonts w:asciiTheme="majorBidi" w:hAnsiTheme="majorBidi" w:cstheme="majorBidi"/>
          <w:sz w:val="28"/>
          <w:szCs w:val="28"/>
        </w:rPr>
        <w:t>relation to these matters. Accordingly, my audit included the performance of</w:t>
      </w:r>
      <w:r w:rsidRPr="004B38CC">
        <w:rPr>
          <w:rFonts w:asciiTheme="majorBidi" w:hAnsiTheme="majorBidi" w:cstheme="majorBidi"/>
          <w:sz w:val="28"/>
          <w:szCs w:val="28"/>
          <w:cs/>
          <w:lang w:val="th-TH"/>
        </w:rPr>
        <w:t xml:space="preserve"> </w:t>
      </w:r>
      <w:r w:rsidRPr="004B38CC">
        <w:rPr>
          <w:rFonts w:asciiTheme="majorBidi" w:hAnsiTheme="majorBidi" w:cstheme="majorBidi"/>
          <w:sz w:val="28"/>
          <w:szCs w:val="28"/>
        </w:rPr>
        <w:t>procedures designed to respond to my assessment of the risks of material</w:t>
      </w:r>
      <w:r w:rsidRPr="004B38CC">
        <w:rPr>
          <w:rFonts w:asciiTheme="majorBidi" w:hAnsiTheme="majorBidi" w:cstheme="majorBidi"/>
          <w:sz w:val="28"/>
          <w:szCs w:val="28"/>
          <w:cs/>
          <w:lang w:val="th-TH"/>
        </w:rPr>
        <w:t xml:space="preserve"> </w:t>
      </w:r>
      <w:r w:rsidRPr="004B38CC">
        <w:rPr>
          <w:rFonts w:asciiTheme="majorBidi" w:hAnsiTheme="majorBidi" w:cstheme="majorBidi"/>
          <w:sz w:val="28"/>
          <w:szCs w:val="28"/>
        </w:rPr>
        <w:t>misstatement of the financial statements. The results of my audit procedures,</w:t>
      </w:r>
      <w:r w:rsidRPr="004B38CC">
        <w:rPr>
          <w:rFonts w:asciiTheme="majorBidi" w:hAnsiTheme="majorBidi" w:cstheme="majorBidi"/>
          <w:sz w:val="28"/>
          <w:szCs w:val="28"/>
          <w:cs/>
          <w:lang w:val="th-TH"/>
        </w:rPr>
        <w:t xml:space="preserve"> </w:t>
      </w:r>
      <w:r w:rsidRPr="004B38CC">
        <w:rPr>
          <w:rFonts w:asciiTheme="majorBidi" w:hAnsiTheme="majorBidi" w:cstheme="majorBidi"/>
          <w:sz w:val="28"/>
          <w:szCs w:val="28"/>
        </w:rPr>
        <w:t>including the procedures performed to address the matters below, provide the</w:t>
      </w:r>
      <w:r w:rsidRPr="004B38CC">
        <w:rPr>
          <w:rFonts w:asciiTheme="majorBidi" w:hAnsiTheme="majorBidi" w:cstheme="majorBidi"/>
          <w:sz w:val="28"/>
          <w:szCs w:val="28"/>
          <w:cs/>
          <w:lang w:val="th-TH"/>
        </w:rPr>
        <w:t xml:space="preserve"> </w:t>
      </w:r>
      <w:r w:rsidRPr="004B38CC">
        <w:rPr>
          <w:rFonts w:asciiTheme="majorBidi" w:hAnsiTheme="majorBidi" w:cstheme="majorBidi"/>
          <w:sz w:val="28"/>
          <w:szCs w:val="28"/>
        </w:rPr>
        <w:t>basis for my audit opinion on the accompanying financial statements as a whole.</w:t>
      </w:r>
    </w:p>
    <w:p w14:paraId="2E78F634" w14:textId="77777777" w:rsidR="004B38CC" w:rsidRDefault="004B38CC" w:rsidP="004B38CC">
      <w:pPr>
        <w:spacing w:after="120"/>
        <w:ind w:right="-43"/>
        <w:jc w:val="both"/>
        <w:rPr>
          <w:rFonts w:asciiTheme="majorBidi" w:hAnsiTheme="majorBidi" w:cstheme="majorBidi"/>
          <w:sz w:val="28"/>
          <w:szCs w:val="28"/>
        </w:rPr>
      </w:pPr>
      <w:r w:rsidRPr="004B38CC">
        <w:rPr>
          <w:rFonts w:asciiTheme="majorBidi" w:hAnsiTheme="majorBidi" w:cstheme="majorBidi"/>
          <w:sz w:val="28"/>
          <w:szCs w:val="28"/>
        </w:rPr>
        <w:t>Key audit</w:t>
      </w:r>
      <w:r w:rsidRPr="004B38CC">
        <w:rPr>
          <w:rFonts w:asciiTheme="majorBidi" w:hAnsiTheme="majorBidi" w:cstheme="majorBidi"/>
          <w:sz w:val="28"/>
          <w:szCs w:val="28"/>
          <w:cs/>
          <w:lang w:val="th-TH"/>
        </w:rPr>
        <w:t xml:space="preserve"> </w:t>
      </w:r>
      <w:r w:rsidRPr="004B38CC">
        <w:rPr>
          <w:rFonts w:asciiTheme="majorBidi" w:hAnsiTheme="majorBidi" w:cstheme="majorBidi"/>
          <w:sz w:val="28"/>
          <w:szCs w:val="28"/>
        </w:rPr>
        <w:t>matters and how audit procedures respond to each matter are</w:t>
      </w:r>
      <w:r w:rsidRPr="004B38CC">
        <w:rPr>
          <w:rFonts w:asciiTheme="majorBidi" w:hAnsiTheme="majorBidi" w:cstheme="majorBidi"/>
          <w:sz w:val="28"/>
          <w:szCs w:val="28"/>
          <w:cs/>
          <w:lang w:val="th-TH"/>
        </w:rPr>
        <w:t xml:space="preserve"> </w:t>
      </w:r>
      <w:r w:rsidRPr="004B38CC">
        <w:rPr>
          <w:rFonts w:asciiTheme="majorBidi" w:hAnsiTheme="majorBidi" w:cstheme="majorBidi"/>
          <w:sz w:val="28"/>
          <w:szCs w:val="28"/>
        </w:rPr>
        <w:t>described below.</w:t>
      </w:r>
    </w:p>
    <w:p w14:paraId="1E2D6131" w14:textId="77777777" w:rsidR="004B38CC" w:rsidRDefault="004B38CC" w:rsidP="004B38CC">
      <w:pPr>
        <w:spacing w:after="120"/>
        <w:ind w:right="-43"/>
        <w:jc w:val="both"/>
        <w:rPr>
          <w:rFonts w:asciiTheme="majorBidi" w:hAnsiTheme="majorBidi" w:cstheme="majorBidi"/>
          <w:sz w:val="28"/>
          <w:szCs w:val="28"/>
        </w:rPr>
      </w:pPr>
    </w:p>
    <w:p w14:paraId="7CE655F6" w14:textId="77777777" w:rsidR="004B38CC" w:rsidRDefault="004B38CC" w:rsidP="004B38CC">
      <w:pPr>
        <w:spacing w:after="120"/>
        <w:ind w:right="-43"/>
        <w:jc w:val="both"/>
        <w:rPr>
          <w:rFonts w:asciiTheme="majorBidi" w:hAnsiTheme="majorBidi" w:cstheme="majorBidi"/>
          <w:sz w:val="28"/>
          <w:szCs w:val="28"/>
        </w:rPr>
      </w:pPr>
    </w:p>
    <w:p w14:paraId="6A4348D2" w14:textId="77777777" w:rsidR="004B38CC" w:rsidRDefault="004B38CC" w:rsidP="004B38CC">
      <w:pPr>
        <w:spacing w:after="120"/>
        <w:ind w:right="-43"/>
        <w:jc w:val="both"/>
        <w:rPr>
          <w:rFonts w:asciiTheme="majorBidi" w:hAnsiTheme="majorBidi" w:cstheme="majorBidi"/>
          <w:sz w:val="28"/>
          <w:szCs w:val="28"/>
        </w:rPr>
      </w:pPr>
    </w:p>
    <w:p w14:paraId="64249533" w14:textId="77777777" w:rsidR="004B38CC" w:rsidRDefault="004B38CC" w:rsidP="004B38CC">
      <w:pPr>
        <w:spacing w:after="120"/>
        <w:ind w:right="-43"/>
        <w:jc w:val="both"/>
        <w:rPr>
          <w:rFonts w:asciiTheme="majorBidi" w:hAnsiTheme="majorBidi" w:cstheme="majorBidi"/>
          <w:sz w:val="28"/>
          <w:szCs w:val="28"/>
        </w:rPr>
      </w:pPr>
    </w:p>
    <w:p w14:paraId="4A200924" w14:textId="77777777" w:rsidR="004B38CC" w:rsidRDefault="004B38CC" w:rsidP="004B38CC">
      <w:pPr>
        <w:spacing w:after="120"/>
        <w:ind w:right="-43"/>
        <w:jc w:val="both"/>
        <w:rPr>
          <w:rFonts w:asciiTheme="majorBidi" w:hAnsiTheme="majorBidi" w:cstheme="majorBidi"/>
          <w:sz w:val="28"/>
          <w:szCs w:val="28"/>
        </w:rPr>
      </w:pPr>
    </w:p>
    <w:p w14:paraId="3477DB13" w14:textId="77777777" w:rsidR="004B38CC" w:rsidRDefault="004B38CC" w:rsidP="004B38CC">
      <w:pPr>
        <w:spacing w:after="120"/>
        <w:ind w:right="-43"/>
        <w:jc w:val="both"/>
        <w:rPr>
          <w:rFonts w:asciiTheme="majorBidi" w:hAnsiTheme="majorBidi" w:cstheme="majorBidi"/>
          <w:sz w:val="28"/>
          <w:szCs w:val="28"/>
        </w:rPr>
      </w:pPr>
    </w:p>
    <w:p w14:paraId="54D9ECD0" w14:textId="77777777" w:rsidR="004B38CC" w:rsidRDefault="004B38CC" w:rsidP="004B38CC">
      <w:pPr>
        <w:spacing w:after="120"/>
        <w:ind w:right="-43"/>
        <w:jc w:val="both"/>
        <w:rPr>
          <w:rFonts w:asciiTheme="majorBidi" w:hAnsiTheme="majorBidi" w:cstheme="majorBidi"/>
          <w:sz w:val="28"/>
          <w:szCs w:val="28"/>
        </w:rPr>
      </w:pPr>
    </w:p>
    <w:tbl>
      <w:tblPr>
        <w:tblStyle w:val="TableGrid"/>
        <w:tblW w:w="0" w:type="auto"/>
        <w:tblLook w:val="04A0" w:firstRow="1" w:lastRow="0" w:firstColumn="1" w:lastColumn="0" w:noHBand="0" w:noVBand="1"/>
      </w:tblPr>
      <w:tblGrid>
        <w:gridCol w:w="4315"/>
        <w:gridCol w:w="4920"/>
      </w:tblGrid>
      <w:tr w:rsidR="00A73125" w14:paraId="3F18A647" w14:textId="77777777" w:rsidTr="00BC7F9F">
        <w:trPr>
          <w:tblHeader/>
        </w:trPr>
        <w:tc>
          <w:tcPr>
            <w:tcW w:w="4315" w:type="dxa"/>
          </w:tcPr>
          <w:p w14:paraId="5FD7B0CD" w14:textId="0A589A58" w:rsidR="00A73125" w:rsidRPr="00A73125" w:rsidRDefault="00A73125" w:rsidP="00A73125">
            <w:pPr>
              <w:overflowPunct/>
              <w:autoSpaceDE/>
              <w:autoSpaceDN/>
              <w:adjustRightInd/>
              <w:jc w:val="center"/>
              <w:textAlignment w:val="auto"/>
              <w:rPr>
                <w:rFonts w:asciiTheme="majorBidi" w:hAnsiTheme="majorBidi" w:cstheme="majorBidi"/>
                <w:b/>
                <w:bCs/>
                <w:sz w:val="28"/>
                <w:szCs w:val="28"/>
              </w:rPr>
            </w:pPr>
            <w:r w:rsidRPr="00A73125">
              <w:rPr>
                <w:rFonts w:asciiTheme="majorBidi" w:hAnsiTheme="majorBidi" w:cstheme="majorBidi"/>
                <w:b/>
                <w:bCs/>
                <w:sz w:val="28"/>
                <w:szCs w:val="28"/>
              </w:rPr>
              <w:lastRenderedPageBreak/>
              <w:t>Key audit matters</w:t>
            </w:r>
          </w:p>
        </w:tc>
        <w:tc>
          <w:tcPr>
            <w:tcW w:w="4920" w:type="dxa"/>
          </w:tcPr>
          <w:p w14:paraId="70A683BC" w14:textId="086E21D4" w:rsidR="00A73125" w:rsidRPr="00A73125" w:rsidRDefault="00A73125" w:rsidP="00A73125">
            <w:pPr>
              <w:overflowPunct/>
              <w:autoSpaceDE/>
              <w:autoSpaceDN/>
              <w:adjustRightInd/>
              <w:jc w:val="center"/>
              <w:textAlignment w:val="auto"/>
              <w:rPr>
                <w:rFonts w:asciiTheme="majorBidi" w:hAnsiTheme="majorBidi" w:cstheme="majorBidi"/>
                <w:b/>
                <w:bCs/>
                <w:sz w:val="28"/>
                <w:szCs w:val="28"/>
              </w:rPr>
            </w:pPr>
            <w:r w:rsidRPr="00A73125">
              <w:rPr>
                <w:rFonts w:asciiTheme="majorBidi" w:hAnsiTheme="majorBidi" w:cstheme="majorBidi"/>
                <w:b/>
                <w:bCs/>
                <w:sz w:val="28"/>
                <w:szCs w:val="28"/>
              </w:rPr>
              <w:t>How my audit addressed the key audit matter</w:t>
            </w:r>
          </w:p>
        </w:tc>
      </w:tr>
      <w:tr w:rsidR="00AE579A" w:rsidRPr="004E21C6" w14:paraId="74E947E9" w14:textId="77777777" w:rsidTr="001242E1">
        <w:trPr>
          <w:trHeight w:val="397"/>
        </w:trPr>
        <w:tc>
          <w:tcPr>
            <w:tcW w:w="4315" w:type="dxa"/>
            <w:tcBorders>
              <w:bottom w:val="nil"/>
            </w:tcBorders>
          </w:tcPr>
          <w:p w14:paraId="2FAFC9AF" w14:textId="5F9AA30E" w:rsidR="00AE579A" w:rsidRPr="004B20DC" w:rsidRDefault="004B38CC" w:rsidP="005A2CE2">
            <w:pPr>
              <w:jc w:val="thaiDistribute"/>
              <w:rPr>
                <w:rFonts w:asciiTheme="majorBidi" w:hAnsiTheme="majorBidi" w:cstheme="majorBidi"/>
                <w:b/>
                <w:bCs/>
                <w:sz w:val="28"/>
                <w:szCs w:val="28"/>
              </w:rPr>
            </w:pPr>
            <w:r w:rsidRPr="004B38CC">
              <w:rPr>
                <w:rFonts w:asciiTheme="majorBidi" w:hAnsiTheme="majorBidi" w:cstheme="majorBidi"/>
                <w:b/>
                <w:bCs/>
                <w:sz w:val="28"/>
                <w:szCs w:val="28"/>
              </w:rPr>
              <w:t xml:space="preserve">Assessment of the impact on opening balances as at 1 January 2024 and on comparative information arising from the first-time adoption of </w:t>
            </w:r>
            <w:r w:rsidR="00156837" w:rsidRPr="00156837">
              <w:rPr>
                <w:rFonts w:asciiTheme="majorBidi" w:hAnsiTheme="majorBidi" w:cstheme="majorBidi"/>
                <w:b/>
                <w:bCs/>
                <w:sz w:val="28"/>
                <w:szCs w:val="28"/>
              </w:rPr>
              <w:t xml:space="preserve">Thai Financial Reporting Standard No. 17 </w:t>
            </w:r>
            <w:r w:rsidR="00E57A16">
              <w:rPr>
                <w:rFonts w:asciiTheme="majorBidi" w:hAnsiTheme="majorBidi" w:cstheme="majorBidi"/>
                <w:b/>
                <w:bCs/>
                <w:sz w:val="28"/>
                <w:szCs w:val="28"/>
              </w:rPr>
              <w:t>“</w:t>
            </w:r>
            <w:r w:rsidR="00156837" w:rsidRPr="00156837">
              <w:rPr>
                <w:rFonts w:asciiTheme="majorBidi" w:hAnsiTheme="majorBidi" w:cstheme="majorBidi"/>
                <w:b/>
                <w:bCs/>
                <w:sz w:val="28"/>
                <w:szCs w:val="28"/>
              </w:rPr>
              <w:t>Insurance Contracts</w:t>
            </w:r>
            <w:r w:rsidR="00E57A16">
              <w:rPr>
                <w:rFonts w:asciiTheme="majorBidi" w:hAnsiTheme="majorBidi" w:cstheme="majorBidi"/>
                <w:b/>
                <w:bCs/>
                <w:sz w:val="28"/>
                <w:szCs w:val="28"/>
              </w:rPr>
              <w:t>”</w:t>
            </w:r>
            <w:r w:rsidR="00156837" w:rsidRPr="00156837">
              <w:rPr>
                <w:rFonts w:asciiTheme="majorBidi" w:hAnsiTheme="majorBidi" w:cstheme="majorBidi"/>
                <w:b/>
                <w:bCs/>
                <w:sz w:val="28"/>
                <w:szCs w:val="28"/>
              </w:rPr>
              <w:t xml:space="preserve"> </w:t>
            </w:r>
          </w:p>
        </w:tc>
        <w:tc>
          <w:tcPr>
            <w:tcW w:w="4920" w:type="dxa"/>
            <w:vMerge w:val="restart"/>
          </w:tcPr>
          <w:p w14:paraId="43883057" w14:textId="34E27B14" w:rsidR="00AE579A" w:rsidRPr="004B20DC" w:rsidRDefault="00AE579A" w:rsidP="00A00F99">
            <w:pPr>
              <w:overflowPunct/>
              <w:autoSpaceDE/>
              <w:autoSpaceDN/>
              <w:adjustRightInd/>
              <w:spacing w:after="120"/>
              <w:jc w:val="thaiDistribute"/>
              <w:textAlignment w:val="auto"/>
              <w:rPr>
                <w:rFonts w:asciiTheme="majorBidi" w:hAnsiTheme="majorBidi" w:cstheme="majorBidi"/>
                <w:sz w:val="28"/>
                <w:szCs w:val="28"/>
              </w:rPr>
            </w:pPr>
            <w:r w:rsidRPr="004B20DC">
              <w:rPr>
                <w:rFonts w:asciiTheme="majorBidi" w:hAnsiTheme="majorBidi" w:cstheme="majorBidi"/>
                <w:sz w:val="28"/>
                <w:szCs w:val="28"/>
              </w:rPr>
              <w:t xml:space="preserve">My key audit procedures in relation to </w:t>
            </w:r>
            <w:r w:rsidR="005A2CE2" w:rsidRPr="004B20DC">
              <w:rPr>
                <w:rFonts w:asciiTheme="majorBidi" w:hAnsiTheme="majorBidi" w:cstheme="majorBidi"/>
                <w:sz w:val="28"/>
                <w:szCs w:val="28"/>
              </w:rPr>
              <w:t xml:space="preserve">first-time adoption of </w:t>
            </w:r>
            <w:r w:rsidR="005A2CE2" w:rsidRPr="00BC7F9F">
              <w:rPr>
                <w:rFonts w:asciiTheme="majorBidi" w:hAnsiTheme="majorBidi" w:cstheme="majorBidi"/>
                <w:sz w:val="28"/>
                <w:szCs w:val="28"/>
              </w:rPr>
              <w:t>Thai Financial Reporting Standard No. 17</w:t>
            </w:r>
            <w:r w:rsidR="00E57A16">
              <w:rPr>
                <w:rFonts w:asciiTheme="majorBidi" w:hAnsiTheme="majorBidi" w:cstheme="majorBidi"/>
                <w:sz w:val="28"/>
                <w:szCs w:val="28"/>
              </w:rPr>
              <w:t xml:space="preserve"> “Insurance Contracts” </w:t>
            </w:r>
            <w:r w:rsidRPr="004B20DC">
              <w:rPr>
                <w:rFonts w:asciiTheme="majorBidi" w:hAnsiTheme="majorBidi" w:cstheme="majorBidi"/>
                <w:sz w:val="28"/>
                <w:szCs w:val="28"/>
              </w:rPr>
              <w:t>included the following:</w:t>
            </w:r>
          </w:p>
          <w:p w14:paraId="75BBD515" w14:textId="2D12C3F9" w:rsidR="00BC7F9F" w:rsidRPr="004B20DC" w:rsidRDefault="00BC7F9F" w:rsidP="001242E1">
            <w:pPr>
              <w:pStyle w:val="ListParagraph"/>
              <w:numPr>
                <w:ilvl w:val="0"/>
                <w:numId w:val="22"/>
              </w:numPr>
              <w:spacing w:after="120"/>
              <w:ind w:left="340" w:hanging="340"/>
              <w:contextualSpacing w:val="0"/>
              <w:jc w:val="thaiDistribute"/>
              <w:rPr>
                <w:rFonts w:asciiTheme="majorBidi" w:hAnsiTheme="majorBidi" w:cstheme="majorBidi"/>
                <w:sz w:val="28"/>
                <w:szCs w:val="28"/>
              </w:rPr>
            </w:pPr>
            <w:r w:rsidRPr="00BC7F9F">
              <w:rPr>
                <w:rFonts w:asciiTheme="majorBidi" w:hAnsiTheme="majorBidi" w:cstheme="majorBidi"/>
                <w:sz w:val="28"/>
                <w:szCs w:val="28"/>
              </w:rPr>
              <w:t xml:space="preserve">Obtaining an understanding and evaluating the design and operating effectiveness of internal controls implemented by management relating to the first-time adoption of Thai Financial Reporting Standard No. 17 </w:t>
            </w:r>
            <w:r w:rsidR="005A2CE2" w:rsidRPr="004B20DC">
              <w:rPr>
                <w:rFonts w:asciiTheme="majorBidi" w:hAnsiTheme="majorBidi" w:cstheme="majorBidi"/>
                <w:sz w:val="28"/>
                <w:szCs w:val="28"/>
              </w:rPr>
              <w:t>‘</w:t>
            </w:r>
            <w:r w:rsidRPr="00BC7F9F">
              <w:rPr>
                <w:rFonts w:asciiTheme="majorBidi" w:hAnsiTheme="majorBidi" w:cstheme="majorBidi"/>
                <w:sz w:val="28"/>
                <w:szCs w:val="28"/>
              </w:rPr>
              <w:t>Insurance Contracts</w:t>
            </w:r>
            <w:r w:rsidR="005A2CE2" w:rsidRPr="004B20DC">
              <w:rPr>
                <w:rFonts w:asciiTheme="majorBidi" w:hAnsiTheme="majorBidi" w:cstheme="majorBidi"/>
                <w:sz w:val="28"/>
                <w:szCs w:val="28"/>
              </w:rPr>
              <w:t>’</w:t>
            </w:r>
            <w:r w:rsidRPr="00BC7F9F">
              <w:rPr>
                <w:rFonts w:asciiTheme="majorBidi" w:hAnsiTheme="majorBidi" w:cstheme="majorBidi"/>
                <w:sz w:val="28"/>
                <w:szCs w:val="28"/>
              </w:rPr>
              <w:t xml:space="preserve"> including testing the completeness and accuracy of the </w:t>
            </w:r>
            <w:r w:rsidR="005A2CE2" w:rsidRPr="004B20DC">
              <w:rPr>
                <w:rFonts w:asciiTheme="majorBidi" w:hAnsiTheme="majorBidi" w:cstheme="majorBidi"/>
                <w:sz w:val="28"/>
                <w:szCs w:val="28"/>
              </w:rPr>
              <w:t>underlying</w:t>
            </w:r>
            <w:r w:rsidRPr="00BC7F9F">
              <w:rPr>
                <w:rFonts w:asciiTheme="majorBidi" w:hAnsiTheme="majorBidi" w:cstheme="majorBidi"/>
                <w:sz w:val="28"/>
                <w:szCs w:val="28"/>
              </w:rPr>
              <w:t xml:space="preserve"> data used in calculating the impact arising from the adoption of Thai Financial Reporting Standard No. 17.</w:t>
            </w:r>
          </w:p>
          <w:p w14:paraId="41EA711A" w14:textId="7C72C265" w:rsidR="00BC7F9F" w:rsidRPr="00BC7F9F" w:rsidRDefault="00BC7F9F" w:rsidP="001242E1">
            <w:pPr>
              <w:pStyle w:val="ListParagraph"/>
              <w:numPr>
                <w:ilvl w:val="0"/>
                <w:numId w:val="22"/>
              </w:numPr>
              <w:spacing w:after="120"/>
              <w:ind w:left="346" w:hanging="346"/>
              <w:contextualSpacing w:val="0"/>
              <w:jc w:val="thaiDistribute"/>
              <w:rPr>
                <w:rFonts w:asciiTheme="majorBidi" w:hAnsiTheme="majorBidi" w:cstheme="majorBidi"/>
                <w:sz w:val="28"/>
                <w:szCs w:val="28"/>
              </w:rPr>
            </w:pPr>
            <w:r w:rsidRPr="00BC7F9F">
              <w:rPr>
                <w:rFonts w:asciiTheme="majorBidi" w:hAnsiTheme="majorBidi" w:cstheme="majorBidi"/>
                <w:sz w:val="28"/>
                <w:szCs w:val="28"/>
              </w:rPr>
              <w:t>Involving</w:t>
            </w:r>
            <w:r w:rsidR="00E57A16">
              <w:rPr>
                <w:rFonts w:asciiTheme="majorBidi" w:hAnsiTheme="majorBidi" w:cstheme="majorBidi"/>
                <w:sz w:val="28"/>
                <w:szCs w:val="28"/>
              </w:rPr>
              <w:t xml:space="preserve"> the firm’s</w:t>
            </w:r>
            <w:r w:rsidRPr="00BC7F9F">
              <w:rPr>
                <w:rFonts w:asciiTheme="majorBidi" w:hAnsiTheme="majorBidi" w:cstheme="majorBidi"/>
                <w:sz w:val="28"/>
                <w:szCs w:val="28"/>
              </w:rPr>
              <w:t xml:space="preserve"> actuarial specialists to evaluate the appropriateness of the methodologies applied and the related judgments used in determining accounting estimates for insurance contract assets and liabilities in accordance with the requirements of Thai Financial Reporting Standard No. 17 as at the transition date. This included estimates of future cash flows, the determination of discount rates, and risk adjustments, as well as testing the calculations and key assumptions used by management.</w:t>
            </w:r>
          </w:p>
          <w:p w14:paraId="5A01D0A1" w14:textId="5B313B21" w:rsidR="00BC7F9F" w:rsidRPr="00BC7F9F" w:rsidRDefault="00BC7F9F" w:rsidP="005A2CE2">
            <w:pPr>
              <w:pStyle w:val="ListParagraph"/>
              <w:numPr>
                <w:ilvl w:val="0"/>
                <w:numId w:val="22"/>
              </w:numPr>
              <w:spacing w:before="120"/>
              <w:ind w:left="346" w:hanging="346"/>
              <w:contextualSpacing w:val="0"/>
              <w:jc w:val="thaiDistribute"/>
              <w:rPr>
                <w:rFonts w:asciiTheme="majorBidi" w:hAnsiTheme="majorBidi" w:cstheme="majorBidi"/>
                <w:sz w:val="28"/>
                <w:szCs w:val="28"/>
              </w:rPr>
            </w:pPr>
            <w:r w:rsidRPr="00BC7F9F">
              <w:rPr>
                <w:rFonts w:asciiTheme="majorBidi" w:hAnsiTheme="majorBidi" w:cstheme="majorBidi"/>
                <w:sz w:val="28"/>
                <w:szCs w:val="28"/>
              </w:rPr>
              <w:t>Assessing the appropriateness and adequacy of the Company’s disclosures in accordance with the requirements of the relevant financial reporting standards.</w:t>
            </w:r>
          </w:p>
          <w:p w14:paraId="05D91AE4" w14:textId="02A435D1" w:rsidR="00A00F99" w:rsidRPr="004E21C6" w:rsidRDefault="00A00F99" w:rsidP="005A2CE2">
            <w:pPr>
              <w:pStyle w:val="ListParagraph"/>
              <w:ind w:left="340"/>
              <w:jc w:val="thaiDistribute"/>
              <w:rPr>
                <w:rFonts w:asciiTheme="majorBidi" w:hAnsiTheme="majorBidi" w:cstheme="majorBidi"/>
                <w:sz w:val="28"/>
                <w:szCs w:val="28"/>
                <w:highlight w:val="yellow"/>
              </w:rPr>
            </w:pPr>
          </w:p>
        </w:tc>
      </w:tr>
      <w:tr w:rsidR="00AE579A" w:rsidRPr="004E21C6" w14:paraId="7CB09025" w14:textId="77777777" w:rsidTr="001242E1">
        <w:trPr>
          <w:trHeight w:val="696"/>
        </w:trPr>
        <w:tc>
          <w:tcPr>
            <w:tcW w:w="4315" w:type="dxa"/>
            <w:tcBorders>
              <w:top w:val="nil"/>
              <w:bottom w:val="single" w:sz="4" w:space="0" w:color="auto"/>
            </w:tcBorders>
          </w:tcPr>
          <w:p w14:paraId="2F2A20ED" w14:textId="77777777" w:rsidR="001242E1" w:rsidRDefault="00AE579A" w:rsidP="004B38CC">
            <w:pPr>
              <w:spacing w:before="120" w:after="120"/>
              <w:jc w:val="thaiDistribute"/>
              <w:rPr>
                <w:rFonts w:asciiTheme="majorBidi" w:hAnsiTheme="majorBidi" w:cstheme="majorBidi"/>
                <w:sz w:val="28"/>
                <w:szCs w:val="28"/>
              </w:rPr>
            </w:pPr>
            <w:r w:rsidRPr="004B20DC">
              <w:rPr>
                <w:rFonts w:asciiTheme="majorBidi" w:hAnsiTheme="majorBidi" w:cstheme="majorBidi"/>
                <w:sz w:val="28"/>
                <w:szCs w:val="28"/>
              </w:rPr>
              <w:t xml:space="preserve">Refer to note </w:t>
            </w:r>
            <w:r w:rsidR="00156837" w:rsidRPr="004B20DC">
              <w:rPr>
                <w:rFonts w:asciiTheme="majorBidi" w:hAnsiTheme="majorBidi" w:cstheme="majorBidi"/>
                <w:sz w:val="28"/>
                <w:szCs w:val="28"/>
              </w:rPr>
              <w:t>2</w:t>
            </w:r>
            <w:r w:rsidRPr="004B20DC">
              <w:rPr>
                <w:rFonts w:asciiTheme="majorBidi" w:hAnsiTheme="majorBidi" w:cstheme="majorBidi"/>
                <w:sz w:val="28"/>
                <w:szCs w:val="28"/>
              </w:rPr>
              <w:t xml:space="preserve"> </w:t>
            </w:r>
            <w:r w:rsidR="00156837" w:rsidRPr="004B20DC">
              <w:rPr>
                <w:rFonts w:asciiTheme="majorBidi" w:hAnsiTheme="majorBidi" w:cstheme="majorBidi"/>
                <w:sz w:val="28"/>
                <w:szCs w:val="28"/>
              </w:rPr>
              <w:t>to</w:t>
            </w:r>
            <w:r w:rsidRPr="004B20DC">
              <w:rPr>
                <w:rFonts w:asciiTheme="majorBidi" w:hAnsiTheme="majorBidi" w:cstheme="majorBidi"/>
                <w:sz w:val="28"/>
                <w:szCs w:val="28"/>
              </w:rPr>
              <w:t xml:space="preserve"> the financial statements </w:t>
            </w:r>
            <w:r w:rsidR="001242E1">
              <w:rPr>
                <w:rFonts w:asciiTheme="majorBidi" w:hAnsiTheme="majorBidi" w:cstheme="majorBidi" w:hint="cs"/>
                <w:sz w:val="28"/>
                <w:szCs w:val="28"/>
                <w:cs/>
              </w:rPr>
              <w:t xml:space="preserve"> </w:t>
            </w:r>
          </w:p>
          <w:p w14:paraId="3F2FCC2D" w14:textId="4600B861" w:rsidR="001242E1" w:rsidRPr="004B20DC" w:rsidRDefault="001242E1" w:rsidP="001242E1">
            <w:pPr>
              <w:spacing w:before="120" w:after="120"/>
              <w:jc w:val="thaiDistribute"/>
              <w:rPr>
                <w:rFonts w:asciiTheme="majorBidi" w:hAnsiTheme="majorBidi" w:cstheme="majorBidi"/>
                <w:sz w:val="28"/>
                <w:szCs w:val="28"/>
              </w:rPr>
            </w:pPr>
            <w:r w:rsidRPr="004B20DC">
              <w:rPr>
                <w:rFonts w:asciiTheme="majorBidi" w:hAnsiTheme="majorBidi" w:cstheme="majorBidi"/>
                <w:sz w:val="28"/>
                <w:szCs w:val="28"/>
              </w:rPr>
              <w:t>T</w:t>
            </w:r>
            <w:r w:rsidRPr="00156837">
              <w:rPr>
                <w:rFonts w:asciiTheme="majorBidi" w:hAnsiTheme="majorBidi" w:cstheme="majorBidi"/>
                <w:sz w:val="28"/>
                <w:szCs w:val="28"/>
              </w:rPr>
              <w:t xml:space="preserve">he Company has adopted Thai Financial Reporting Standard No. 17 </w:t>
            </w:r>
            <w:r w:rsidR="00E57A16">
              <w:rPr>
                <w:rFonts w:asciiTheme="majorBidi" w:hAnsiTheme="majorBidi" w:cstheme="majorBidi"/>
                <w:sz w:val="28"/>
                <w:szCs w:val="28"/>
              </w:rPr>
              <w:t>“</w:t>
            </w:r>
            <w:r w:rsidRPr="00156837">
              <w:rPr>
                <w:rFonts w:asciiTheme="majorBidi" w:hAnsiTheme="majorBidi" w:cstheme="majorBidi"/>
                <w:sz w:val="28"/>
                <w:szCs w:val="28"/>
              </w:rPr>
              <w:t>Insurance Contracts</w:t>
            </w:r>
            <w:r w:rsidR="00E57A16">
              <w:rPr>
                <w:rFonts w:asciiTheme="majorBidi" w:hAnsiTheme="majorBidi" w:cstheme="majorBidi"/>
                <w:sz w:val="28"/>
                <w:szCs w:val="28"/>
              </w:rPr>
              <w:t>”</w:t>
            </w:r>
            <w:r w:rsidRPr="00156837">
              <w:rPr>
                <w:rFonts w:asciiTheme="majorBidi" w:hAnsiTheme="majorBidi" w:cstheme="majorBidi"/>
                <w:sz w:val="28"/>
                <w:szCs w:val="28"/>
              </w:rPr>
              <w:t xml:space="preserve"> for the first time with effect from 1 January 2025. The adoption of this standard has had a significant impact on the Company’s accounting policies, the recognition and measurement of assets and liabilities arising from insurance contracts, as well as the overall presentation of the Company’s financial statements.</w:t>
            </w:r>
          </w:p>
          <w:p w14:paraId="27B8AE6B" w14:textId="77777777" w:rsidR="001242E1" w:rsidRDefault="001242E1" w:rsidP="001242E1">
            <w:pPr>
              <w:spacing w:after="120"/>
              <w:jc w:val="thaiDistribute"/>
              <w:rPr>
                <w:rFonts w:asciiTheme="majorBidi" w:hAnsiTheme="majorBidi" w:cstheme="majorBidi"/>
                <w:sz w:val="28"/>
                <w:szCs w:val="28"/>
              </w:rPr>
            </w:pPr>
            <w:r w:rsidRPr="00C2522B">
              <w:rPr>
                <w:rFonts w:asciiTheme="majorBidi" w:hAnsiTheme="majorBidi" w:cstheme="majorBidi"/>
                <w:sz w:val="28"/>
                <w:szCs w:val="28"/>
              </w:rPr>
              <w:t>The adoption of Thai Financial Reporting Standard No. 17 has resulted in a reassessment of accounting and actuarial valuations and has also required an increased level of management judgment, as outlined below:</w:t>
            </w:r>
          </w:p>
          <w:p w14:paraId="3EB16517" w14:textId="77777777" w:rsidR="004B38CC" w:rsidRPr="00C2522B" w:rsidRDefault="004B38CC" w:rsidP="004B38CC">
            <w:pPr>
              <w:numPr>
                <w:ilvl w:val="0"/>
                <w:numId w:val="25"/>
              </w:numPr>
              <w:tabs>
                <w:tab w:val="clear" w:pos="720"/>
                <w:tab w:val="num" w:pos="429"/>
              </w:tabs>
              <w:spacing w:after="120"/>
              <w:ind w:left="429"/>
              <w:jc w:val="thaiDistribute"/>
              <w:rPr>
                <w:rFonts w:asciiTheme="majorBidi" w:hAnsiTheme="majorBidi" w:cstheme="majorBidi"/>
                <w:sz w:val="28"/>
                <w:szCs w:val="28"/>
              </w:rPr>
            </w:pPr>
            <w:r w:rsidRPr="00C2522B">
              <w:rPr>
                <w:rFonts w:asciiTheme="majorBidi" w:hAnsiTheme="majorBidi" w:cstheme="majorBidi"/>
                <w:sz w:val="28"/>
                <w:szCs w:val="28"/>
              </w:rPr>
              <w:t>The determination of the approach applied to groups of insurance contracts as at the transition date.</w:t>
            </w:r>
          </w:p>
          <w:p w14:paraId="36800BBB" w14:textId="77777777" w:rsidR="004B38CC" w:rsidRDefault="004B38CC" w:rsidP="004B38CC">
            <w:pPr>
              <w:numPr>
                <w:ilvl w:val="0"/>
                <w:numId w:val="25"/>
              </w:numPr>
              <w:tabs>
                <w:tab w:val="clear" w:pos="720"/>
                <w:tab w:val="num" w:pos="429"/>
              </w:tabs>
              <w:spacing w:after="120"/>
              <w:ind w:left="429"/>
              <w:jc w:val="thaiDistribute"/>
              <w:rPr>
                <w:rFonts w:asciiTheme="majorBidi" w:hAnsiTheme="majorBidi" w:cstheme="majorBidi"/>
                <w:sz w:val="28"/>
                <w:szCs w:val="28"/>
              </w:rPr>
            </w:pPr>
            <w:r w:rsidRPr="00C2522B">
              <w:rPr>
                <w:rFonts w:asciiTheme="majorBidi" w:hAnsiTheme="majorBidi" w:cstheme="majorBidi"/>
                <w:sz w:val="28"/>
                <w:szCs w:val="28"/>
              </w:rPr>
              <w:t>The determination of methods and assumptions used in measuring the present value of future cash flows under insurance contracts, in order to appropriately reflect the contractual obligations to policyholders.</w:t>
            </w:r>
          </w:p>
          <w:p w14:paraId="60E372B0" w14:textId="77777777" w:rsidR="002D7252" w:rsidRDefault="002D7252" w:rsidP="002D7252">
            <w:pPr>
              <w:spacing w:after="120"/>
              <w:ind w:left="429"/>
              <w:jc w:val="thaiDistribute"/>
              <w:rPr>
                <w:rFonts w:asciiTheme="majorBidi" w:hAnsiTheme="majorBidi" w:cstheme="majorBidi"/>
                <w:sz w:val="28"/>
                <w:szCs w:val="28"/>
              </w:rPr>
            </w:pPr>
          </w:p>
          <w:p w14:paraId="694EDFBF" w14:textId="77777777" w:rsidR="004B38CC" w:rsidRDefault="004B38CC" w:rsidP="004B38CC">
            <w:pPr>
              <w:numPr>
                <w:ilvl w:val="0"/>
                <w:numId w:val="25"/>
              </w:numPr>
              <w:tabs>
                <w:tab w:val="clear" w:pos="720"/>
                <w:tab w:val="num" w:pos="429"/>
              </w:tabs>
              <w:spacing w:after="120"/>
              <w:ind w:left="429"/>
              <w:jc w:val="thaiDistribute"/>
              <w:rPr>
                <w:rFonts w:asciiTheme="majorBidi" w:hAnsiTheme="majorBidi" w:cstheme="majorBidi"/>
                <w:sz w:val="28"/>
                <w:szCs w:val="28"/>
              </w:rPr>
            </w:pPr>
            <w:r w:rsidRPr="00C2522B">
              <w:rPr>
                <w:rFonts w:asciiTheme="majorBidi" w:hAnsiTheme="majorBidi" w:cstheme="majorBidi"/>
                <w:sz w:val="28"/>
                <w:szCs w:val="28"/>
              </w:rPr>
              <w:lastRenderedPageBreak/>
              <w:t>The determination of methods and assumptions related to the measurement of non-financial risk, as well as the parameters and methodologies associated with the selected discount rates.</w:t>
            </w:r>
          </w:p>
          <w:p w14:paraId="15F5FD41" w14:textId="554AE9E0" w:rsidR="00005327" w:rsidRPr="00005327" w:rsidRDefault="00005327" w:rsidP="00005327">
            <w:pPr>
              <w:numPr>
                <w:ilvl w:val="0"/>
                <w:numId w:val="25"/>
              </w:numPr>
              <w:tabs>
                <w:tab w:val="clear" w:pos="720"/>
                <w:tab w:val="num" w:pos="429"/>
              </w:tabs>
              <w:spacing w:after="120"/>
              <w:ind w:left="429"/>
              <w:jc w:val="thaiDistribute"/>
              <w:rPr>
                <w:rFonts w:asciiTheme="majorBidi" w:hAnsiTheme="majorBidi" w:cstheme="majorBidi"/>
                <w:sz w:val="28"/>
                <w:szCs w:val="28"/>
              </w:rPr>
            </w:pPr>
            <w:r w:rsidRPr="00005327">
              <w:rPr>
                <w:rFonts w:asciiTheme="majorBidi" w:hAnsiTheme="majorBidi" w:cstheme="majorBidi"/>
                <w:sz w:val="28"/>
                <w:szCs w:val="28"/>
              </w:rPr>
              <w:t>Presenting the impact of the selected transition options within equity, including the effects on other comprehensive income as at the transition date.</w:t>
            </w:r>
          </w:p>
          <w:p w14:paraId="701FD3E2" w14:textId="19657015" w:rsidR="009C2BB6" w:rsidRPr="009C2BB6" w:rsidRDefault="009C2BB6" w:rsidP="009C2BB6">
            <w:pPr>
              <w:spacing w:after="120"/>
              <w:jc w:val="thaiDistribute"/>
              <w:rPr>
                <w:rFonts w:asciiTheme="majorBidi" w:hAnsiTheme="majorBidi" w:cstheme="majorBidi"/>
                <w:sz w:val="28"/>
                <w:szCs w:val="28"/>
              </w:rPr>
            </w:pPr>
            <w:r w:rsidRPr="009C2BB6">
              <w:rPr>
                <w:rFonts w:asciiTheme="majorBidi" w:hAnsiTheme="majorBidi" w:cstheme="majorBidi"/>
                <w:sz w:val="28"/>
                <w:szCs w:val="28"/>
              </w:rPr>
              <w:t xml:space="preserve">Furthermore, in accordance with Accounting Standard No. 8 </w:t>
            </w:r>
            <w:r w:rsidR="00AE104E">
              <w:rPr>
                <w:rFonts w:asciiTheme="majorBidi" w:hAnsiTheme="majorBidi" w:cstheme="majorBidi"/>
                <w:sz w:val="28"/>
                <w:szCs w:val="28"/>
              </w:rPr>
              <w:t>“</w:t>
            </w:r>
            <w:r w:rsidRPr="009C2BB6">
              <w:rPr>
                <w:rFonts w:asciiTheme="majorBidi" w:hAnsiTheme="majorBidi" w:cstheme="majorBidi"/>
                <w:sz w:val="28"/>
                <w:szCs w:val="28"/>
              </w:rPr>
              <w:t>Accounting Policies, Changes in Accounting Estimates and Errors</w:t>
            </w:r>
            <w:r w:rsidR="00AE104E">
              <w:rPr>
                <w:rFonts w:asciiTheme="majorBidi" w:hAnsiTheme="majorBidi" w:cstheme="majorBidi"/>
                <w:sz w:val="28"/>
                <w:szCs w:val="28"/>
              </w:rPr>
              <w:t>”</w:t>
            </w:r>
            <w:r>
              <w:rPr>
                <w:rFonts w:asciiTheme="majorBidi" w:hAnsiTheme="majorBidi" w:cstheme="majorBidi"/>
                <w:sz w:val="28"/>
                <w:szCs w:val="28"/>
              </w:rPr>
              <w:t>,</w:t>
            </w:r>
            <w:r w:rsidRPr="009C2BB6">
              <w:rPr>
                <w:rFonts w:asciiTheme="majorBidi" w:hAnsiTheme="majorBidi" w:cstheme="majorBidi"/>
                <w:sz w:val="28"/>
                <w:szCs w:val="28"/>
              </w:rPr>
              <w:t xml:space="preserve"> the Company has retrospectively restated the relevant comparative information and recognised the cumulative effect of the first-time adoption of the standard by adjusting opening retained earnings as at the beginning of the earliest comparative period presented (1 January 2024). The Company also recognised the related impacts on equity and other comprehensive income as at the transition date.</w:t>
            </w:r>
          </w:p>
          <w:p w14:paraId="59E461B6" w14:textId="1D5FD8D7" w:rsidR="001242E1" w:rsidRPr="004B20DC" w:rsidRDefault="004B38CC" w:rsidP="009604BA">
            <w:pPr>
              <w:spacing w:after="120"/>
              <w:jc w:val="thaiDistribute"/>
              <w:rPr>
                <w:rFonts w:asciiTheme="majorBidi" w:hAnsiTheme="majorBidi" w:cstheme="majorBidi"/>
                <w:b/>
                <w:bCs/>
                <w:sz w:val="28"/>
                <w:szCs w:val="28"/>
              </w:rPr>
            </w:pPr>
            <w:r w:rsidRPr="00C2522B">
              <w:rPr>
                <w:rFonts w:asciiTheme="majorBidi" w:hAnsiTheme="majorBidi" w:cstheme="majorBidi"/>
                <w:sz w:val="28"/>
                <w:szCs w:val="28"/>
              </w:rPr>
              <w:t xml:space="preserve">I consider the first-time adoption of Thai Financial Reporting Standard No. 17 </w:t>
            </w:r>
            <w:r w:rsidRPr="004B20DC">
              <w:rPr>
                <w:rFonts w:asciiTheme="majorBidi" w:hAnsiTheme="majorBidi" w:cstheme="majorBidi"/>
                <w:sz w:val="28"/>
                <w:szCs w:val="28"/>
              </w:rPr>
              <w:t>‘</w:t>
            </w:r>
            <w:r w:rsidRPr="00C2522B">
              <w:rPr>
                <w:rFonts w:asciiTheme="majorBidi" w:hAnsiTheme="majorBidi" w:cstheme="majorBidi"/>
                <w:sz w:val="28"/>
                <w:szCs w:val="28"/>
              </w:rPr>
              <w:t>Insurance Contracts</w:t>
            </w:r>
            <w:r w:rsidRPr="004B20DC">
              <w:rPr>
                <w:rFonts w:asciiTheme="majorBidi" w:hAnsiTheme="majorBidi" w:cstheme="majorBidi"/>
                <w:sz w:val="28"/>
                <w:szCs w:val="28"/>
              </w:rPr>
              <w:t>’</w:t>
            </w:r>
            <w:r w:rsidRPr="00C2522B">
              <w:rPr>
                <w:rFonts w:asciiTheme="majorBidi" w:hAnsiTheme="majorBidi" w:cstheme="majorBidi"/>
                <w:sz w:val="28"/>
                <w:szCs w:val="28"/>
              </w:rPr>
              <w:t xml:space="preserve"> to be a key </w:t>
            </w:r>
            <w:r w:rsidRPr="004B20DC">
              <w:rPr>
                <w:rFonts w:asciiTheme="majorBidi" w:hAnsiTheme="majorBidi" w:cstheme="majorBidi"/>
                <w:sz w:val="28"/>
                <w:szCs w:val="28"/>
              </w:rPr>
              <w:t xml:space="preserve">audit </w:t>
            </w:r>
            <w:r w:rsidRPr="00C2522B">
              <w:rPr>
                <w:rFonts w:asciiTheme="majorBidi" w:hAnsiTheme="majorBidi" w:cstheme="majorBidi"/>
                <w:sz w:val="28"/>
                <w:szCs w:val="28"/>
              </w:rPr>
              <w:t>matter, as this standard is a new and complex financial reporting standard that significantly affects the Company’s accounting recognition and the presentation of its financial statements. In addition, its adoption requires the application of significant management judgment, particularly in relation to the selection of transition approaches.</w:t>
            </w:r>
            <w:r w:rsidR="001242E1">
              <w:rPr>
                <w:rFonts w:asciiTheme="majorBidi" w:hAnsiTheme="majorBidi" w:cstheme="majorBidi" w:hint="cs"/>
                <w:sz w:val="28"/>
                <w:szCs w:val="28"/>
                <w:cs/>
              </w:rPr>
              <w:t xml:space="preserve">   </w:t>
            </w:r>
          </w:p>
        </w:tc>
        <w:tc>
          <w:tcPr>
            <w:tcW w:w="4920" w:type="dxa"/>
            <w:vMerge/>
          </w:tcPr>
          <w:p w14:paraId="29855F95" w14:textId="77777777" w:rsidR="00AE579A" w:rsidRPr="004E21C6" w:rsidRDefault="00AE579A" w:rsidP="00A73125">
            <w:pPr>
              <w:overflowPunct/>
              <w:autoSpaceDE/>
              <w:autoSpaceDN/>
              <w:adjustRightInd/>
              <w:spacing w:after="120"/>
              <w:textAlignment w:val="auto"/>
              <w:rPr>
                <w:rFonts w:asciiTheme="majorBidi" w:hAnsiTheme="majorBidi" w:cstheme="majorBidi"/>
                <w:sz w:val="28"/>
                <w:szCs w:val="28"/>
                <w:highlight w:val="yellow"/>
              </w:rPr>
            </w:pPr>
          </w:p>
        </w:tc>
      </w:tr>
    </w:tbl>
    <w:p w14:paraId="2704BC8F" w14:textId="77777777" w:rsidR="00A00F99" w:rsidRPr="004E21C6" w:rsidRDefault="00A00F99">
      <w:pPr>
        <w:rPr>
          <w:highlight w:val="yellow"/>
        </w:rPr>
      </w:pPr>
      <w:r w:rsidRPr="004E21C6">
        <w:rPr>
          <w:highlight w:val="yellow"/>
        </w:rPr>
        <w:br w:type="page"/>
      </w:r>
    </w:p>
    <w:tbl>
      <w:tblPr>
        <w:tblStyle w:val="TableGrid"/>
        <w:tblW w:w="0" w:type="auto"/>
        <w:tblBorders>
          <w:insideH w:val="none" w:sz="0" w:space="0" w:color="auto"/>
        </w:tblBorders>
        <w:tblLook w:val="04A0" w:firstRow="1" w:lastRow="0" w:firstColumn="1" w:lastColumn="0" w:noHBand="0" w:noVBand="1"/>
      </w:tblPr>
      <w:tblGrid>
        <w:gridCol w:w="4315"/>
        <w:gridCol w:w="4920"/>
      </w:tblGrid>
      <w:tr w:rsidR="00A00F99" w:rsidRPr="004E21C6" w14:paraId="0D10095E" w14:textId="77777777" w:rsidTr="0059249C">
        <w:trPr>
          <w:tblHeader/>
        </w:trPr>
        <w:tc>
          <w:tcPr>
            <w:tcW w:w="4315" w:type="dxa"/>
            <w:tcBorders>
              <w:top w:val="single" w:sz="4" w:space="0" w:color="000000" w:themeColor="text1"/>
              <w:bottom w:val="single" w:sz="4" w:space="0" w:color="000000" w:themeColor="text1"/>
            </w:tcBorders>
          </w:tcPr>
          <w:p w14:paraId="33ABBAB6" w14:textId="2F09D387" w:rsidR="00A00F99" w:rsidRPr="00ED00ED" w:rsidRDefault="00A00F99" w:rsidP="00A00F99">
            <w:pPr>
              <w:overflowPunct/>
              <w:autoSpaceDE/>
              <w:autoSpaceDN/>
              <w:adjustRightInd/>
              <w:jc w:val="center"/>
              <w:textAlignment w:val="auto"/>
              <w:rPr>
                <w:rFonts w:asciiTheme="majorBidi" w:hAnsiTheme="majorBidi" w:cstheme="majorBidi"/>
                <w:sz w:val="28"/>
                <w:szCs w:val="28"/>
              </w:rPr>
            </w:pPr>
            <w:r w:rsidRPr="00ED00ED">
              <w:rPr>
                <w:rFonts w:asciiTheme="majorBidi" w:hAnsiTheme="majorBidi" w:cstheme="majorBidi"/>
                <w:b/>
                <w:bCs/>
                <w:sz w:val="28"/>
                <w:szCs w:val="28"/>
              </w:rPr>
              <w:lastRenderedPageBreak/>
              <w:t>Key audit matters</w:t>
            </w:r>
          </w:p>
        </w:tc>
        <w:tc>
          <w:tcPr>
            <w:tcW w:w="4920" w:type="dxa"/>
            <w:tcBorders>
              <w:top w:val="single" w:sz="4" w:space="0" w:color="000000" w:themeColor="text1"/>
              <w:bottom w:val="single" w:sz="4" w:space="0" w:color="000000" w:themeColor="text1"/>
            </w:tcBorders>
          </w:tcPr>
          <w:p w14:paraId="5E26AEE2" w14:textId="794FB940" w:rsidR="00A00F99" w:rsidRPr="00ED00ED" w:rsidRDefault="00A00F99" w:rsidP="00A00F99">
            <w:pPr>
              <w:overflowPunct/>
              <w:autoSpaceDE/>
              <w:autoSpaceDN/>
              <w:adjustRightInd/>
              <w:jc w:val="center"/>
              <w:textAlignment w:val="auto"/>
              <w:rPr>
                <w:rFonts w:asciiTheme="majorBidi" w:hAnsiTheme="majorBidi" w:cstheme="majorBidi"/>
                <w:sz w:val="28"/>
                <w:szCs w:val="28"/>
              </w:rPr>
            </w:pPr>
            <w:r w:rsidRPr="00ED00ED">
              <w:rPr>
                <w:rFonts w:asciiTheme="majorBidi" w:hAnsiTheme="majorBidi" w:cstheme="majorBidi"/>
                <w:b/>
                <w:bCs/>
                <w:sz w:val="28"/>
                <w:szCs w:val="28"/>
              </w:rPr>
              <w:t>How my audit addressed the key audit matter</w:t>
            </w:r>
          </w:p>
        </w:tc>
      </w:tr>
      <w:tr w:rsidR="0029383C" w:rsidRPr="004E21C6" w14:paraId="422AFCDC" w14:textId="77777777" w:rsidTr="0059249C">
        <w:tc>
          <w:tcPr>
            <w:tcW w:w="4315" w:type="dxa"/>
            <w:tcBorders>
              <w:top w:val="single" w:sz="4" w:space="0" w:color="000000" w:themeColor="text1"/>
              <w:bottom w:val="single" w:sz="4" w:space="0" w:color="000000" w:themeColor="text1"/>
            </w:tcBorders>
          </w:tcPr>
          <w:p w14:paraId="6F7608BD" w14:textId="1838F40C" w:rsidR="0029383C" w:rsidRDefault="0059249C" w:rsidP="00A00F99">
            <w:pPr>
              <w:overflowPunct/>
              <w:autoSpaceDE/>
              <w:autoSpaceDN/>
              <w:adjustRightInd/>
              <w:jc w:val="thaiDistribute"/>
              <w:textAlignment w:val="auto"/>
              <w:rPr>
                <w:rFonts w:asciiTheme="majorBidi" w:hAnsiTheme="majorBidi" w:cstheme="majorBidi"/>
                <w:b/>
                <w:bCs/>
                <w:sz w:val="28"/>
                <w:szCs w:val="28"/>
              </w:rPr>
            </w:pPr>
            <w:r>
              <w:br w:type="page"/>
            </w:r>
            <w:r>
              <w:br w:type="page"/>
            </w:r>
            <w:r w:rsidR="00015972">
              <w:br w:type="page"/>
            </w:r>
            <w:r w:rsidR="00015972">
              <w:br w:type="page"/>
            </w:r>
            <w:r w:rsidR="00015972">
              <w:br w:type="page"/>
            </w:r>
            <w:r w:rsidR="00015972">
              <w:br w:type="page"/>
            </w:r>
            <w:r w:rsidR="00015972">
              <w:br w:type="page"/>
            </w:r>
            <w:r w:rsidR="00015972">
              <w:br w:type="page"/>
            </w:r>
            <w:r w:rsidR="004B20DC" w:rsidRPr="00ED00ED">
              <w:rPr>
                <w:rFonts w:asciiTheme="majorBidi" w:hAnsiTheme="majorBidi" w:cstheme="majorBidi"/>
                <w:b/>
                <w:bCs/>
                <w:sz w:val="28"/>
                <w:szCs w:val="28"/>
              </w:rPr>
              <w:t>Insurance contract liabilities</w:t>
            </w:r>
            <w:r w:rsidR="0029383C" w:rsidRPr="00ED00ED">
              <w:rPr>
                <w:rFonts w:asciiTheme="majorBidi" w:hAnsiTheme="majorBidi" w:cstheme="majorBidi"/>
                <w:b/>
                <w:bCs/>
                <w:sz w:val="28"/>
                <w:szCs w:val="28"/>
              </w:rPr>
              <w:t xml:space="preserve"> </w:t>
            </w:r>
          </w:p>
          <w:p w14:paraId="06F15AED" w14:textId="259C1C25" w:rsidR="00A81E9F" w:rsidRDefault="00A81E9F" w:rsidP="00A81E9F">
            <w:pPr>
              <w:overflowPunct/>
              <w:autoSpaceDE/>
              <w:autoSpaceDN/>
              <w:adjustRightInd/>
              <w:spacing w:before="120"/>
              <w:jc w:val="thaiDistribute"/>
              <w:textAlignment w:val="auto"/>
              <w:rPr>
                <w:rFonts w:asciiTheme="majorBidi" w:hAnsiTheme="majorBidi" w:cstheme="majorBidi"/>
                <w:sz w:val="28"/>
                <w:szCs w:val="28"/>
              </w:rPr>
            </w:pPr>
            <w:r w:rsidRPr="00ED00ED">
              <w:rPr>
                <w:rFonts w:asciiTheme="majorBidi" w:hAnsiTheme="majorBidi" w:cstheme="majorBidi"/>
                <w:sz w:val="28"/>
                <w:szCs w:val="28"/>
              </w:rPr>
              <w:t xml:space="preserve">Refer to accounting policies no. </w:t>
            </w:r>
            <w:r w:rsidRPr="00ED00ED">
              <w:rPr>
                <w:rFonts w:asciiTheme="majorBidi" w:hAnsiTheme="majorBidi"/>
                <w:sz w:val="28"/>
                <w:szCs w:val="28"/>
                <w:cs/>
              </w:rPr>
              <w:t>3</w:t>
            </w:r>
            <w:r w:rsidRPr="00ED00ED">
              <w:rPr>
                <w:rFonts w:asciiTheme="majorBidi" w:hAnsiTheme="majorBidi"/>
                <w:sz w:val="28"/>
                <w:szCs w:val="28"/>
              </w:rPr>
              <w:t xml:space="preserve"> (b)</w:t>
            </w:r>
            <w:r w:rsidRPr="00ED00ED">
              <w:rPr>
                <w:rFonts w:asciiTheme="majorBidi" w:hAnsiTheme="majorBidi" w:cstheme="majorBidi"/>
                <w:sz w:val="28"/>
                <w:szCs w:val="28"/>
              </w:rPr>
              <w:t xml:space="preserve"> and </w:t>
            </w:r>
            <w:r w:rsidR="00AA07C1" w:rsidRPr="00ED00ED">
              <w:rPr>
                <w:rFonts w:asciiTheme="majorBidi" w:hAnsiTheme="majorBidi" w:cstheme="majorBidi"/>
                <w:sz w:val="28"/>
                <w:szCs w:val="28"/>
              </w:rPr>
              <w:t>notes</w:t>
            </w:r>
            <w:r w:rsidRPr="00ED00ED">
              <w:rPr>
                <w:rFonts w:asciiTheme="majorBidi" w:hAnsiTheme="majorBidi" w:cstheme="majorBidi"/>
                <w:sz w:val="28"/>
                <w:szCs w:val="28"/>
              </w:rPr>
              <w:t xml:space="preserve"> 2 and 4 to the financial statements</w:t>
            </w:r>
          </w:p>
          <w:p w14:paraId="7439E3A7" w14:textId="37A3392F" w:rsidR="00A81E9F" w:rsidRPr="00A27605" w:rsidRDefault="00A81E9F" w:rsidP="00A81E9F">
            <w:pPr>
              <w:spacing w:before="120"/>
              <w:jc w:val="thaiDistribute"/>
              <w:rPr>
                <w:rFonts w:asciiTheme="majorBidi" w:hAnsiTheme="majorBidi" w:cstheme="majorBidi"/>
                <w:sz w:val="28"/>
                <w:szCs w:val="28"/>
              </w:rPr>
            </w:pPr>
            <w:r w:rsidRPr="00A27605">
              <w:rPr>
                <w:rFonts w:asciiTheme="majorBidi" w:hAnsiTheme="majorBidi" w:cstheme="majorBidi"/>
                <w:sz w:val="28"/>
                <w:szCs w:val="28"/>
              </w:rPr>
              <w:t>As at 31 December 2025, the Company had total insurance contract liabilities amounting to Baht 267.61 million, representing 8</w:t>
            </w:r>
            <w:r w:rsidR="00E57A16">
              <w:rPr>
                <w:rFonts w:asciiTheme="majorBidi" w:hAnsiTheme="majorBidi" w:cstheme="majorBidi"/>
                <w:sz w:val="28"/>
                <w:szCs w:val="28"/>
              </w:rPr>
              <w:t>3.35</w:t>
            </w:r>
            <w:r w:rsidRPr="00A27605">
              <w:rPr>
                <w:rFonts w:asciiTheme="majorBidi" w:hAnsiTheme="majorBidi" w:cstheme="majorBidi"/>
                <w:sz w:val="28"/>
                <w:szCs w:val="28"/>
              </w:rPr>
              <w:t>% of total liabilities. These insurance contract liabilities comprised liabilities for incurred claims amounting to Baht 182.15 million, representing 5</w:t>
            </w:r>
            <w:r w:rsidR="008B491A">
              <w:rPr>
                <w:rFonts w:asciiTheme="majorBidi" w:hAnsiTheme="majorBidi" w:cstheme="majorBidi"/>
                <w:sz w:val="28"/>
                <w:szCs w:val="28"/>
              </w:rPr>
              <w:t>6</w:t>
            </w:r>
            <w:r w:rsidRPr="00A27605">
              <w:rPr>
                <w:rFonts w:asciiTheme="majorBidi" w:hAnsiTheme="majorBidi" w:cstheme="majorBidi"/>
                <w:sz w:val="28"/>
                <w:szCs w:val="28"/>
              </w:rPr>
              <w:t>.</w:t>
            </w:r>
            <w:r w:rsidR="00315900">
              <w:rPr>
                <w:rFonts w:asciiTheme="majorBidi" w:hAnsiTheme="majorBidi" w:cstheme="majorBidi"/>
                <w:sz w:val="28"/>
                <w:szCs w:val="28"/>
              </w:rPr>
              <w:t>73</w:t>
            </w:r>
            <w:r w:rsidRPr="00A27605">
              <w:rPr>
                <w:rFonts w:asciiTheme="majorBidi" w:hAnsiTheme="majorBidi" w:cstheme="majorBidi"/>
                <w:sz w:val="28"/>
                <w:szCs w:val="28"/>
              </w:rPr>
              <w:t>% of total liabilities, and liabilities for remaining coverage amounting to Baht 85.4</w:t>
            </w:r>
            <w:r w:rsidR="006E3734">
              <w:rPr>
                <w:rFonts w:asciiTheme="majorBidi" w:hAnsiTheme="majorBidi" w:cstheme="majorBidi"/>
                <w:sz w:val="28"/>
                <w:szCs w:val="28"/>
              </w:rPr>
              <w:t>6</w:t>
            </w:r>
            <w:r w:rsidRPr="00A27605">
              <w:rPr>
                <w:rFonts w:asciiTheme="majorBidi" w:hAnsiTheme="majorBidi" w:cstheme="majorBidi"/>
                <w:sz w:val="28"/>
                <w:szCs w:val="28"/>
              </w:rPr>
              <w:t xml:space="preserve"> million (measured under the Premium Allocation Approach), representing 2</w:t>
            </w:r>
            <w:r w:rsidR="00F84B52">
              <w:rPr>
                <w:rFonts w:asciiTheme="majorBidi" w:hAnsiTheme="majorBidi" w:cstheme="majorBidi"/>
                <w:sz w:val="28"/>
                <w:szCs w:val="28"/>
              </w:rPr>
              <w:t>6</w:t>
            </w:r>
            <w:r w:rsidRPr="00A27605">
              <w:rPr>
                <w:rFonts w:asciiTheme="majorBidi" w:hAnsiTheme="majorBidi" w:cstheme="majorBidi"/>
                <w:sz w:val="28"/>
                <w:szCs w:val="28"/>
              </w:rPr>
              <w:t>.</w:t>
            </w:r>
            <w:r w:rsidR="00E57A16">
              <w:rPr>
                <w:rFonts w:asciiTheme="majorBidi" w:hAnsiTheme="majorBidi" w:cstheme="majorBidi"/>
                <w:sz w:val="28"/>
                <w:szCs w:val="28"/>
              </w:rPr>
              <w:t>62</w:t>
            </w:r>
            <w:r w:rsidRPr="00A27605">
              <w:rPr>
                <w:rFonts w:asciiTheme="majorBidi" w:hAnsiTheme="majorBidi" w:cstheme="majorBidi"/>
                <w:sz w:val="28"/>
                <w:szCs w:val="28"/>
              </w:rPr>
              <w:t>% of total liabilities.</w:t>
            </w:r>
          </w:p>
          <w:p w14:paraId="6BDF684A" w14:textId="135D2239" w:rsidR="00A81E9F" w:rsidRPr="00A27605" w:rsidRDefault="00A81E9F" w:rsidP="00A81E9F">
            <w:pPr>
              <w:spacing w:before="120"/>
              <w:jc w:val="thaiDistribute"/>
              <w:rPr>
                <w:rFonts w:asciiTheme="majorBidi" w:hAnsiTheme="majorBidi" w:cstheme="majorBidi"/>
                <w:b/>
                <w:bCs/>
                <w:sz w:val="28"/>
                <w:szCs w:val="28"/>
              </w:rPr>
            </w:pPr>
            <w:r w:rsidRPr="00A27605">
              <w:rPr>
                <w:rFonts w:asciiTheme="majorBidi" w:hAnsiTheme="majorBidi" w:cstheme="majorBidi"/>
                <w:b/>
                <w:bCs/>
                <w:sz w:val="28"/>
                <w:szCs w:val="28"/>
              </w:rPr>
              <w:t xml:space="preserve">Liabilities for </w:t>
            </w:r>
            <w:r w:rsidR="00E57A16">
              <w:rPr>
                <w:rFonts w:asciiTheme="majorBidi" w:hAnsiTheme="majorBidi" w:cstheme="majorBidi"/>
                <w:b/>
                <w:bCs/>
                <w:sz w:val="28"/>
                <w:szCs w:val="28"/>
              </w:rPr>
              <w:t>i</w:t>
            </w:r>
            <w:r w:rsidRPr="00A27605">
              <w:rPr>
                <w:rFonts w:asciiTheme="majorBidi" w:hAnsiTheme="majorBidi" w:cstheme="majorBidi"/>
                <w:b/>
                <w:bCs/>
                <w:sz w:val="28"/>
                <w:szCs w:val="28"/>
              </w:rPr>
              <w:t xml:space="preserve">ncurred </w:t>
            </w:r>
            <w:r w:rsidR="00E57A16">
              <w:rPr>
                <w:rFonts w:asciiTheme="majorBidi" w:hAnsiTheme="majorBidi" w:cstheme="majorBidi"/>
                <w:b/>
                <w:bCs/>
                <w:sz w:val="28"/>
                <w:szCs w:val="28"/>
              </w:rPr>
              <w:t>c</w:t>
            </w:r>
            <w:r w:rsidRPr="00A27605">
              <w:rPr>
                <w:rFonts w:asciiTheme="majorBidi" w:hAnsiTheme="majorBidi" w:cstheme="majorBidi"/>
                <w:b/>
                <w:bCs/>
                <w:sz w:val="28"/>
                <w:szCs w:val="28"/>
              </w:rPr>
              <w:t>laims</w:t>
            </w:r>
          </w:p>
          <w:p w14:paraId="74B0CB00" w14:textId="77777777" w:rsidR="00A81E9F" w:rsidRDefault="00A81E9F" w:rsidP="00A81E9F">
            <w:pPr>
              <w:spacing w:before="120"/>
              <w:jc w:val="thaiDistribute"/>
              <w:rPr>
                <w:rFonts w:asciiTheme="majorBidi" w:hAnsiTheme="majorBidi" w:cstheme="majorBidi"/>
                <w:sz w:val="28"/>
                <w:szCs w:val="28"/>
              </w:rPr>
            </w:pPr>
            <w:r w:rsidRPr="00A27605">
              <w:rPr>
                <w:rFonts w:asciiTheme="majorBidi" w:hAnsiTheme="majorBidi" w:cstheme="majorBidi"/>
                <w:sz w:val="28"/>
                <w:szCs w:val="28"/>
              </w:rPr>
              <w:t>Liabilities for incurred claims represent estimates of cash flows arising from the fulfilment of, or expected payments required to settle, obligations resulting from insured events that have occurred as at the end of the reporting period. These estimates are adjusted for the time value of money and the effects of financial risk, including a risk adjustment for non-financial risk. Such estimates also include both allocated and unallocated costs related to the administration and handling of claims arising from insured events that occurred before the end of the reporting period.</w:t>
            </w:r>
          </w:p>
          <w:p w14:paraId="30016EE1" w14:textId="77777777" w:rsidR="00A81E9F" w:rsidRDefault="00A81E9F" w:rsidP="00A81E9F">
            <w:pPr>
              <w:spacing w:before="120"/>
              <w:jc w:val="thaiDistribute"/>
              <w:rPr>
                <w:rFonts w:asciiTheme="majorBidi" w:hAnsiTheme="majorBidi" w:cstheme="majorBidi"/>
                <w:sz w:val="28"/>
                <w:szCs w:val="28"/>
              </w:rPr>
            </w:pPr>
          </w:p>
          <w:p w14:paraId="32CCCE43" w14:textId="77777777" w:rsidR="00A81E9F" w:rsidRDefault="00A81E9F" w:rsidP="00A81E9F">
            <w:pPr>
              <w:spacing w:before="120"/>
              <w:jc w:val="thaiDistribute"/>
              <w:rPr>
                <w:rFonts w:asciiTheme="majorBidi" w:hAnsiTheme="majorBidi" w:cstheme="majorBidi"/>
                <w:sz w:val="28"/>
                <w:szCs w:val="28"/>
              </w:rPr>
            </w:pPr>
          </w:p>
          <w:p w14:paraId="1FA7B954" w14:textId="77777777" w:rsidR="00A81E9F" w:rsidRDefault="00A81E9F" w:rsidP="00A81E9F">
            <w:pPr>
              <w:spacing w:before="120"/>
              <w:jc w:val="thaiDistribute"/>
              <w:rPr>
                <w:rFonts w:asciiTheme="majorBidi" w:hAnsiTheme="majorBidi" w:cstheme="majorBidi"/>
                <w:sz w:val="28"/>
                <w:szCs w:val="28"/>
              </w:rPr>
            </w:pPr>
          </w:p>
          <w:p w14:paraId="0CBEDE2F" w14:textId="77777777" w:rsidR="00A81E9F" w:rsidRPr="00A27605" w:rsidRDefault="00A81E9F" w:rsidP="00A81E9F">
            <w:pPr>
              <w:spacing w:before="120"/>
              <w:jc w:val="thaiDistribute"/>
              <w:rPr>
                <w:rFonts w:asciiTheme="majorBidi" w:hAnsiTheme="majorBidi" w:cstheme="majorBidi"/>
                <w:sz w:val="28"/>
                <w:szCs w:val="28"/>
              </w:rPr>
            </w:pPr>
            <w:r w:rsidRPr="00A27605">
              <w:rPr>
                <w:rFonts w:asciiTheme="majorBidi" w:hAnsiTheme="majorBidi" w:cstheme="majorBidi"/>
                <w:sz w:val="28"/>
                <w:szCs w:val="28"/>
              </w:rPr>
              <w:lastRenderedPageBreak/>
              <w:t>Liabilities for incurred claims are measured using complex actuarial valuation techniques, which in certain cases require a high degree of judgment in respect of both historical and forward-looking internal and external variables. Changes in the assumptions applied may have a significant impact on the measurement of these components within insurance contract liabilities.</w:t>
            </w:r>
          </w:p>
          <w:p w14:paraId="115E7A82" w14:textId="2CBEC701" w:rsidR="00A81E9F" w:rsidRDefault="00A81E9F" w:rsidP="00A81E9F">
            <w:pPr>
              <w:spacing w:before="120"/>
              <w:jc w:val="thaiDistribute"/>
              <w:rPr>
                <w:rFonts w:asciiTheme="majorBidi" w:hAnsiTheme="majorBidi" w:cstheme="majorBidi"/>
                <w:sz w:val="28"/>
                <w:szCs w:val="28"/>
              </w:rPr>
            </w:pPr>
            <w:r w:rsidRPr="00A27605">
              <w:rPr>
                <w:rFonts w:asciiTheme="majorBidi" w:hAnsiTheme="majorBidi" w:cstheme="majorBidi"/>
                <w:sz w:val="28"/>
                <w:szCs w:val="28"/>
              </w:rPr>
              <w:t>For these reasons, I consider the measurement of liabilities for incurred claims to be a key audit matter.</w:t>
            </w:r>
          </w:p>
          <w:p w14:paraId="29B37842" w14:textId="77777777" w:rsidR="00E57A16" w:rsidRDefault="00E57A16" w:rsidP="00A81E9F">
            <w:pPr>
              <w:spacing w:before="120"/>
              <w:jc w:val="thaiDistribute"/>
              <w:rPr>
                <w:rFonts w:asciiTheme="majorBidi" w:hAnsiTheme="majorBidi" w:cstheme="majorBidi"/>
                <w:b/>
                <w:bCs/>
                <w:sz w:val="28"/>
                <w:szCs w:val="28"/>
              </w:rPr>
            </w:pPr>
          </w:p>
          <w:p w14:paraId="13FEB2A4" w14:textId="77777777" w:rsidR="00E57A16" w:rsidRDefault="00E57A16" w:rsidP="00A81E9F">
            <w:pPr>
              <w:spacing w:before="120"/>
              <w:jc w:val="thaiDistribute"/>
              <w:rPr>
                <w:rFonts w:asciiTheme="majorBidi" w:hAnsiTheme="majorBidi" w:cstheme="majorBidi"/>
                <w:b/>
                <w:bCs/>
                <w:sz w:val="28"/>
                <w:szCs w:val="28"/>
              </w:rPr>
            </w:pPr>
          </w:p>
          <w:p w14:paraId="0BDAA880" w14:textId="77777777" w:rsidR="00E57A16" w:rsidRDefault="00E57A16" w:rsidP="00A81E9F">
            <w:pPr>
              <w:spacing w:before="120"/>
              <w:jc w:val="thaiDistribute"/>
              <w:rPr>
                <w:rFonts w:asciiTheme="majorBidi" w:hAnsiTheme="majorBidi" w:cstheme="majorBidi"/>
                <w:b/>
                <w:bCs/>
                <w:sz w:val="28"/>
                <w:szCs w:val="28"/>
              </w:rPr>
            </w:pPr>
          </w:p>
          <w:p w14:paraId="47AED8CD" w14:textId="77777777" w:rsidR="00E57A16" w:rsidRDefault="00E57A16" w:rsidP="00A81E9F">
            <w:pPr>
              <w:spacing w:before="120"/>
              <w:jc w:val="thaiDistribute"/>
              <w:rPr>
                <w:rFonts w:asciiTheme="majorBidi" w:hAnsiTheme="majorBidi" w:cstheme="majorBidi"/>
                <w:b/>
                <w:bCs/>
                <w:sz w:val="28"/>
                <w:szCs w:val="28"/>
              </w:rPr>
            </w:pPr>
          </w:p>
          <w:p w14:paraId="76333DEC" w14:textId="77777777" w:rsidR="00E57A16" w:rsidRDefault="00E57A16" w:rsidP="00A81E9F">
            <w:pPr>
              <w:spacing w:before="120"/>
              <w:jc w:val="thaiDistribute"/>
              <w:rPr>
                <w:rFonts w:asciiTheme="majorBidi" w:hAnsiTheme="majorBidi" w:cstheme="majorBidi"/>
                <w:b/>
                <w:bCs/>
                <w:sz w:val="28"/>
                <w:szCs w:val="28"/>
              </w:rPr>
            </w:pPr>
          </w:p>
          <w:p w14:paraId="4E83FA8E" w14:textId="77777777" w:rsidR="00E57A16" w:rsidRDefault="00E57A16" w:rsidP="00A81E9F">
            <w:pPr>
              <w:spacing w:before="120"/>
              <w:jc w:val="thaiDistribute"/>
              <w:rPr>
                <w:rFonts w:asciiTheme="majorBidi" w:hAnsiTheme="majorBidi" w:cstheme="majorBidi"/>
                <w:b/>
                <w:bCs/>
                <w:sz w:val="28"/>
                <w:szCs w:val="28"/>
              </w:rPr>
            </w:pPr>
          </w:p>
          <w:p w14:paraId="23A00281" w14:textId="77777777" w:rsidR="00E57A16" w:rsidRDefault="00E57A16" w:rsidP="00A81E9F">
            <w:pPr>
              <w:spacing w:before="120"/>
              <w:jc w:val="thaiDistribute"/>
              <w:rPr>
                <w:rFonts w:asciiTheme="majorBidi" w:hAnsiTheme="majorBidi" w:cstheme="majorBidi"/>
                <w:b/>
                <w:bCs/>
                <w:sz w:val="28"/>
                <w:szCs w:val="28"/>
              </w:rPr>
            </w:pPr>
          </w:p>
          <w:p w14:paraId="5041A72E" w14:textId="77777777" w:rsidR="00E57A16" w:rsidRDefault="00E57A16" w:rsidP="00A81E9F">
            <w:pPr>
              <w:spacing w:before="120"/>
              <w:jc w:val="thaiDistribute"/>
              <w:rPr>
                <w:rFonts w:asciiTheme="majorBidi" w:hAnsiTheme="majorBidi" w:cstheme="majorBidi"/>
                <w:b/>
                <w:bCs/>
                <w:sz w:val="28"/>
                <w:szCs w:val="28"/>
              </w:rPr>
            </w:pPr>
          </w:p>
          <w:p w14:paraId="75F42566" w14:textId="77777777" w:rsidR="00E57A16" w:rsidRDefault="00E57A16" w:rsidP="00A81E9F">
            <w:pPr>
              <w:spacing w:before="120"/>
              <w:jc w:val="thaiDistribute"/>
              <w:rPr>
                <w:rFonts w:asciiTheme="majorBidi" w:hAnsiTheme="majorBidi" w:cstheme="majorBidi"/>
                <w:b/>
                <w:bCs/>
                <w:sz w:val="28"/>
                <w:szCs w:val="28"/>
              </w:rPr>
            </w:pPr>
          </w:p>
          <w:p w14:paraId="708E8100" w14:textId="324BABF3" w:rsidR="00A81E9F" w:rsidRPr="00ED00ED" w:rsidRDefault="00A81E9F" w:rsidP="00E57A16">
            <w:pPr>
              <w:spacing w:before="300"/>
              <w:rPr>
                <w:rFonts w:asciiTheme="majorBidi" w:hAnsiTheme="majorBidi" w:cstheme="majorBidi"/>
                <w:b/>
                <w:bCs/>
                <w:sz w:val="28"/>
                <w:szCs w:val="28"/>
              </w:rPr>
            </w:pPr>
            <w:r w:rsidRPr="00ED00ED">
              <w:rPr>
                <w:rFonts w:asciiTheme="majorBidi" w:hAnsiTheme="majorBidi" w:cstheme="majorBidi"/>
                <w:b/>
                <w:bCs/>
                <w:sz w:val="28"/>
                <w:szCs w:val="28"/>
              </w:rPr>
              <w:t xml:space="preserve">Liabilities for </w:t>
            </w:r>
            <w:r w:rsidR="00E57A16">
              <w:rPr>
                <w:rFonts w:asciiTheme="majorBidi" w:hAnsiTheme="majorBidi" w:cstheme="majorBidi"/>
                <w:b/>
                <w:bCs/>
                <w:sz w:val="28"/>
                <w:szCs w:val="28"/>
              </w:rPr>
              <w:t>r</w:t>
            </w:r>
            <w:r w:rsidRPr="00ED00ED">
              <w:rPr>
                <w:rFonts w:asciiTheme="majorBidi" w:hAnsiTheme="majorBidi" w:cstheme="majorBidi"/>
                <w:b/>
                <w:bCs/>
                <w:sz w:val="28"/>
                <w:szCs w:val="28"/>
              </w:rPr>
              <w:t xml:space="preserve">emaining </w:t>
            </w:r>
            <w:r w:rsidR="00E57A16">
              <w:rPr>
                <w:rFonts w:asciiTheme="majorBidi" w:hAnsiTheme="majorBidi" w:cstheme="majorBidi"/>
                <w:b/>
                <w:bCs/>
                <w:sz w:val="28"/>
                <w:szCs w:val="28"/>
              </w:rPr>
              <w:t>c</w:t>
            </w:r>
            <w:r w:rsidRPr="00ED00ED">
              <w:rPr>
                <w:rFonts w:asciiTheme="majorBidi" w:hAnsiTheme="majorBidi" w:cstheme="majorBidi"/>
                <w:b/>
                <w:bCs/>
                <w:sz w:val="28"/>
                <w:szCs w:val="28"/>
              </w:rPr>
              <w:t>overage</w:t>
            </w:r>
          </w:p>
          <w:p w14:paraId="2E2225EA" w14:textId="2AE27FF4" w:rsidR="00A81E9F" w:rsidRPr="00ED00ED" w:rsidRDefault="00A81E9F" w:rsidP="00A81E9F">
            <w:pPr>
              <w:spacing w:before="120"/>
              <w:jc w:val="thaiDistribute"/>
              <w:rPr>
                <w:rFonts w:asciiTheme="majorBidi" w:hAnsiTheme="majorBidi" w:cstheme="majorBidi"/>
                <w:sz w:val="28"/>
                <w:szCs w:val="28"/>
              </w:rPr>
            </w:pPr>
            <w:r w:rsidRPr="00ED00ED">
              <w:rPr>
                <w:rFonts w:asciiTheme="majorBidi" w:hAnsiTheme="majorBidi" w:cstheme="majorBidi"/>
                <w:sz w:val="28"/>
                <w:szCs w:val="28"/>
              </w:rPr>
              <w:t>As at 31 December 2025, the Company had liabilities for remaining coverage amounting to Baht 85.4</w:t>
            </w:r>
            <w:r w:rsidR="006E3734">
              <w:rPr>
                <w:rFonts w:asciiTheme="majorBidi" w:hAnsiTheme="majorBidi" w:cstheme="majorBidi"/>
                <w:sz w:val="28"/>
                <w:szCs w:val="28"/>
              </w:rPr>
              <w:t>6</w:t>
            </w:r>
            <w:r w:rsidRPr="00ED00ED">
              <w:rPr>
                <w:rFonts w:asciiTheme="majorBidi" w:hAnsiTheme="majorBidi" w:cstheme="majorBidi"/>
                <w:sz w:val="28"/>
                <w:szCs w:val="28"/>
              </w:rPr>
              <w:t xml:space="preserve"> million, which formed part of total insurance contract liabilities of Baht 267.61 million. These liabilities were measured using the Premium Allocation Approach </w:t>
            </w:r>
            <w:r w:rsidRPr="00ED00ED">
              <w:rPr>
                <w:rFonts w:asciiTheme="majorBidi" w:hAnsiTheme="majorBidi" w:cstheme="majorBidi"/>
                <w:sz w:val="28"/>
                <w:szCs w:val="28"/>
              </w:rPr>
              <w:lastRenderedPageBreak/>
              <w:t>(PAA).</w:t>
            </w:r>
            <w:r w:rsidR="006E3734">
              <w:rPr>
                <w:rFonts w:asciiTheme="majorBidi" w:hAnsiTheme="majorBidi" w:cstheme="majorBidi"/>
                <w:sz w:val="28"/>
                <w:szCs w:val="28"/>
              </w:rPr>
              <w:t xml:space="preserve"> </w:t>
            </w:r>
            <w:r w:rsidRPr="00ED00ED">
              <w:rPr>
                <w:rFonts w:asciiTheme="majorBidi" w:hAnsiTheme="majorBidi" w:cstheme="majorBidi"/>
                <w:sz w:val="28"/>
                <w:szCs w:val="28"/>
              </w:rPr>
              <w:t>Under the Premium Allocation Approach, management is required to exercise significant judgment in assessing the appropriateness of applying the PAA, the grouping of insurance contracts, and whether any group of insurance contracts is onerous. Such assessments require estimates of future claims ratios and future expenses.</w:t>
            </w:r>
          </w:p>
          <w:p w14:paraId="17D34944" w14:textId="51F240DD" w:rsidR="00015972" w:rsidRDefault="00A81E9F" w:rsidP="009604BA">
            <w:pPr>
              <w:spacing w:before="120"/>
              <w:jc w:val="thaiDistribute"/>
              <w:rPr>
                <w:rFonts w:asciiTheme="majorBidi" w:hAnsiTheme="majorBidi" w:cstheme="majorBidi"/>
                <w:sz w:val="28"/>
                <w:szCs w:val="28"/>
              </w:rPr>
            </w:pPr>
            <w:r w:rsidRPr="00ED00ED">
              <w:rPr>
                <w:rFonts w:asciiTheme="majorBidi" w:hAnsiTheme="majorBidi" w:cstheme="majorBidi"/>
                <w:sz w:val="28"/>
                <w:szCs w:val="28"/>
              </w:rPr>
              <w:t>Given that these balances are material to the financial statements and involve significant management judgment and estimates, I therefore consider the measurement of liabilities for remaining coverage to be a key audit matter.</w:t>
            </w:r>
            <w:r w:rsidR="00CA379A">
              <w:rPr>
                <w:rFonts w:asciiTheme="majorBidi" w:hAnsiTheme="majorBidi" w:cstheme="majorBidi"/>
                <w:sz w:val="28"/>
                <w:szCs w:val="28"/>
              </w:rPr>
              <w:t xml:space="preserve">      </w:t>
            </w:r>
          </w:p>
          <w:p w14:paraId="638BBA9B" w14:textId="77777777" w:rsidR="00E57A16" w:rsidRDefault="00CA379A" w:rsidP="0059249C">
            <w:pPr>
              <w:spacing w:before="120"/>
              <w:jc w:val="thaiDistribute"/>
              <w:rPr>
                <w:rFonts w:asciiTheme="majorBidi" w:hAnsiTheme="majorBidi" w:cstheme="majorBidi"/>
                <w:sz w:val="28"/>
                <w:szCs w:val="28"/>
              </w:rPr>
            </w:pPr>
            <w:r>
              <w:rPr>
                <w:rFonts w:asciiTheme="majorBidi" w:hAnsiTheme="majorBidi" w:cstheme="majorBidi"/>
                <w:sz w:val="28"/>
                <w:szCs w:val="28"/>
              </w:rPr>
              <w:t xml:space="preserve">                   </w:t>
            </w:r>
          </w:p>
          <w:p w14:paraId="6A0747A5" w14:textId="77777777" w:rsidR="00E57A16" w:rsidRDefault="00E57A16" w:rsidP="0059249C">
            <w:pPr>
              <w:spacing w:before="120"/>
              <w:jc w:val="thaiDistribute"/>
              <w:rPr>
                <w:rFonts w:asciiTheme="majorBidi" w:hAnsiTheme="majorBidi" w:cstheme="majorBidi"/>
                <w:sz w:val="28"/>
                <w:szCs w:val="28"/>
              </w:rPr>
            </w:pPr>
          </w:p>
          <w:p w14:paraId="288210C2" w14:textId="77777777" w:rsidR="00E57A16" w:rsidRDefault="00E57A16" w:rsidP="0059249C">
            <w:pPr>
              <w:spacing w:before="120"/>
              <w:jc w:val="thaiDistribute"/>
              <w:rPr>
                <w:rFonts w:asciiTheme="majorBidi" w:hAnsiTheme="majorBidi" w:cstheme="majorBidi"/>
                <w:sz w:val="28"/>
                <w:szCs w:val="28"/>
              </w:rPr>
            </w:pPr>
          </w:p>
          <w:p w14:paraId="72F48781" w14:textId="77777777" w:rsidR="00E57A16" w:rsidRDefault="00E57A16" w:rsidP="0059249C">
            <w:pPr>
              <w:spacing w:before="120"/>
              <w:jc w:val="thaiDistribute"/>
              <w:rPr>
                <w:rFonts w:asciiTheme="majorBidi" w:hAnsiTheme="majorBidi" w:cstheme="majorBidi"/>
                <w:sz w:val="28"/>
                <w:szCs w:val="28"/>
              </w:rPr>
            </w:pPr>
          </w:p>
          <w:p w14:paraId="447724F6" w14:textId="77777777" w:rsidR="00E57A16" w:rsidRDefault="00E57A16" w:rsidP="0059249C">
            <w:pPr>
              <w:spacing w:before="120"/>
              <w:jc w:val="thaiDistribute"/>
              <w:rPr>
                <w:rFonts w:asciiTheme="majorBidi" w:hAnsiTheme="majorBidi" w:cstheme="majorBidi"/>
                <w:sz w:val="28"/>
                <w:szCs w:val="28"/>
              </w:rPr>
            </w:pPr>
          </w:p>
          <w:p w14:paraId="34920693" w14:textId="77777777" w:rsidR="00E57A16" w:rsidRDefault="00E57A16" w:rsidP="0059249C">
            <w:pPr>
              <w:spacing w:before="120"/>
              <w:jc w:val="thaiDistribute"/>
              <w:rPr>
                <w:rFonts w:asciiTheme="majorBidi" w:hAnsiTheme="majorBidi" w:cstheme="majorBidi"/>
                <w:sz w:val="28"/>
                <w:szCs w:val="28"/>
              </w:rPr>
            </w:pPr>
          </w:p>
          <w:p w14:paraId="32175C63" w14:textId="77777777" w:rsidR="00E57A16" w:rsidRDefault="00E57A16" w:rsidP="0059249C">
            <w:pPr>
              <w:spacing w:before="120"/>
              <w:jc w:val="thaiDistribute"/>
              <w:rPr>
                <w:rFonts w:asciiTheme="majorBidi" w:hAnsiTheme="majorBidi" w:cstheme="majorBidi"/>
                <w:sz w:val="28"/>
                <w:szCs w:val="28"/>
              </w:rPr>
            </w:pPr>
          </w:p>
          <w:p w14:paraId="47270321" w14:textId="77777777" w:rsidR="00E57A16" w:rsidRDefault="00E57A16" w:rsidP="0059249C">
            <w:pPr>
              <w:spacing w:before="120"/>
              <w:jc w:val="thaiDistribute"/>
              <w:rPr>
                <w:rFonts w:asciiTheme="majorBidi" w:hAnsiTheme="majorBidi" w:cstheme="majorBidi"/>
                <w:sz w:val="28"/>
                <w:szCs w:val="28"/>
              </w:rPr>
            </w:pPr>
          </w:p>
          <w:p w14:paraId="7C97F0F1" w14:textId="77777777" w:rsidR="00E57A16" w:rsidRDefault="00E57A16" w:rsidP="0059249C">
            <w:pPr>
              <w:spacing w:before="120"/>
              <w:jc w:val="thaiDistribute"/>
              <w:rPr>
                <w:rFonts w:asciiTheme="majorBidi" w:hAnsiTheme="majorBidi" w:cstheme="majorBidi"/>
                <w:sz w:val="28"/>
                <w:szCs w:val="28"/>
              </w:rPr>
            </w:pPr>
          </w:p>
          <w:p w14:paraId="0C11B9D8" w14:textId="29FF5BF2" w:rsidR="0059249C" w:rsidRPr="00C45040" w:rsidRDefault="00CA379A" w:rsidP="0059249C">
            <w:pPr>
              <w:spacing w:before="120"/>
              <w:jc w:val="thaiDistribute"/>
              <w:rPr>
                <w:rFonts w:asciiTheme="majorBidi" w:hAnsiTheme="majorBidi" w:cstheme="majorBidi"/>
                <w:sz w:val="28"/>
                <w:szCs w:val="28"/>
              </w:rPr>
            </w:pPr>
            <w:r>
              <w:rPr>
                <w:rFonts w:asciiTheme="majorBidi" w:hAnsiTheme="majorBidi" w:cstheme="majorBidi"/>
                <w:sz w:val="28"/>
                <w:szCs w:val="28"/>
              </w:rPr>
              <w:t xml:space="preserve">                    </w:t>
            </w:r>
          </w:p>
        </w:tc>
        <w:tc>
          <w:tcPr>
            <w:tcW w:w="4920" w:type="dxa"/>
            <w:tcBorders>
              <w:top w:val="single" w:sz="4" w:space="0" w:color="000000" w:themeColor="text1"/>
              <w:bottom w:val="single" w:sz="4" w:space="0" w:color="000000" w:themeColor="text1"/>
            </w:tcBorders>
          </w:tcPr>
          <w:p w14:paraId="70A2ED6E" w14:textId="77777777" w:rsidR="00E57A16" w:rsidRDefault="00E57A16" w:rsidP="00332F84">
            <w:pPr>
              <w:jc w:val="thaiDistribute"/>
              <w:rPr>
                <w:rFonts w:ascii="Angsana New" w:hAnsi="Angsana New"/>
                <w:sz w:val="28"/>
                <w:szCs w:val="28"/>
              </w:rPr>
            </w:pPr>
          </w:p>
          <w:p w14:paraId="5D44E9F9" w14:textId="77777777" w:rsidR="00E57A16" w:rsidRDefault="00E57A16" w:rsidP="00332F84">
            <w:pPr>
              <w:jc w:val="thaiDistribute"/>
              <w:rPr>
                <w:rFonts w:ascii="Angsana New" w:hAnsi="Angsana New"/>
                <w:sz w:val="28"/>
                <w:szCs w:val="28"/>
              </w:rPr>
            </w:pPr>
          </w:p>
          <w:p w14:paraId="64A9DA5E" w14:textId="77777777" w:rsidR="00E57A16" w:rsidRDefault="00E57A16" w:rsidP="00332F84">
            <w:pPr>
              <w:jc w:val="thaiDistribute"/>
              <w:rPr>
                <w:rFonts w:ascii="Angsana New" w:hAnsi="Angsana New"/>
                <w:sz w:val="28"/>
                <w:szCs w:val="28"/>
              </w:rPr>
            </w:pPr>
          </w:p>
          <w:p w14:paraId="0DABE012" w14:textId="77777777" w:rsidR="00E57A16" w:rsidRDefault="00E57A16" w:rsidP="00332F84">
            <w:pPr>
              <w:jc w:val="thaiDistribute"/>
              <w:rPr>
                <w:rFonts w:ascii="Angsana New" w:hAnsi="Angsana New"/>
                <w:sz w:val="28"/>
                <w:szCs w:val="28"/>
              </w:rPr>
            </w:pPr>
          </w:p>
          <w:p w14:paraId="795E7626" w14:textId="77777777" w:rsidR="00E57A16" w:rsidRDefault="00E57A16" w:rsidP="00332F84">
            <w:pPr>
              <w:jc w:val="thaiDistribute"/>
              <w:rPr>
                <w:rFonts w:ascii="Angsana New" w:hAnsi="Angsana New"/>
                <w:sz w:val="28"/>
                <w:szCs w:val="28"/>
              </w:rPr>
            </w:pPr>
          </w:p>
          <w:p w14:paraId="46C66E58" w14:textId="77777777" w:rsidR="00E57A16" w:rsidRDefault="00E57A16" w:rsidP="00332F84">
            <w:pPr>
              <w:jc w:val="thaiDistribute"/>
              <w:rPr>
                <w:rFonts w:ascii="Angsana New" w:hAnsi="Angsana New"/>
                <w:sz w:val="28"/>
                <w:szCs w:val="28"/>
              </w:rPr>
            </w:pPr>
          </w:p>
          <w:p w14:paraId="7139398E" w14:textId="77777777" w:rsidR="00E57A16" w:rsidRDefault="00E57A16" w:rsidP="00332F84">
            <w:pPr>
              <w:jc w:val="thaiDistribute"/>
              <w:rPr>
                <w:rFonts w:ascii="Angsana New" w:hAnsi="Angsana New"/>
                <w:sz w:val="28"/>
                <w:szCs w:val="28"/>
              </w:rPr>
            </w:pPr>
          </w:p>
          <w:p w14:paraId="352F30F7" w14:textId="77777777" w:rsidR="00E57A16" w:rsidRDefault="00E57A16" w:rsidP="00332F84">
            <w:pPr>
              <w:jc w:val="thaiDistribute"/>
              <w:rPr>
                <w:rFonts w:ascii="Angsana New" w:hAnsi="Angsana New"/>
                <w:sz w:val="28"/>
                <w:szCs w:val="28"/>
              </w:rPr>
            </w:pPr>
          </w:p>
          <w:p w14:paraId="4C3FC390" w14:textId="77777777" w:rsidR="00E57A16" w:rsidRDefault="00E57A16" w:rsidP="00332F84">
            <w:pPr>
              <w:jc w:val="thaiDistribute"/>
              <w:rPr>
                <w:rFonts w:ascii="Angsana New" w:hAnsi="Angsana New"/>
                <w:sz w:val="28"/>
                <w:szCs w:val="28"/>
              </w:rPr>
            </w:pPr>
          </w:p>
          <w:p w14:paraId="02376C1A" w14:textId="77777777" w:rsidR="00E57A16" w:rsidRDefault="00E57A16" w:rsidP="00332F84">
            <w:pPr>
              <w:jc w:val="thaiDistribute"/>
              <w:rPr>
                <w:rFonts w:ascii="Angsana New" w:hAnsi="Angsana New"/>
                <w:sz w:val="28"/>
                <w:szCs w:val="28"/>
              </w:rPr>
            </w:pPr>
          </w:p>
          <w:p w14:paraId="218BC47B" w14:textId="77777777" w:rsidR="00E57A16" w:rsidRDefault="00E57A16" w:rsidP="00332F84">
            <w:pPr>
              <w:jc w:val="thaiDistribute"/>
              <w:rPr>
                <w:rFonts w:ascii="Angsana New" w:hAnsi="Angsana New"/>
                <w:sz w:val="28"/>
                <w:szCs w:val="28"/>
              </w:rPr>
            </w:pPr>
          </w:p>
          <w:p w14:paraId="5B48E1BD" w14:textId="77777777" w:rsidR="00E57A16" w:rsidRDefault="00E57A16" w:rsidP="00332F84">
            <w:pPr>
              <w:jc w:val="thaiDistribute"/>
              <w:rPr>
                <w:rFonts w:ascii="Angsana New" w:hAnsi="Angsana New"/>
                <w:sz w:val="28"/>
                <w:szCs w:val="28"/>
              </w:rPr>
            </w:pPr>
          </w:p>
          <w:p w14:paraId="73621216" w14:textId="77777777" w:rsidR="00E57A16" w:rsidRDefault="00E57A16" w:rsidP="00332F84">
            <w:pPr>
              <w:jc w:val="thaiDistribute"/>
              <w:rPr>
                <w:rFonts w:ascii="Angsana New" w:hAnsi="Angsana New"/>
                <w:sz w:val="28"/>
                <w:szCs w:val="28"/>
              </w:rPr>
            </w:pPr>
          </w:p>
          <w:p w14:paraId="3015840E" w14:textId="16090719" w:rsidR="00332F84" w:rsidRPr="00ED00ED" w:rsidRDefault="0029383C" w:rsidP="00332F84">
            <w:pPr>
              <w:jc w:val="thaiDistribute"/>
              <w:rPr>
                <w:rFonts w:ascii="Angsana New" w:hAnsi="Angsana New"/>
                <w:sz w:val="28"/>
                <w:szCs w:val="28"/>
              </w:rPr>
            </w:pPr>
            <w:r w:rsidRPr="00ED00ED">
              <w:rPr>
                <w:rFonts w:ascii="Angsana New" w:hAnsi="Angsana New"/>
                <w:sz w:val="28"/>
                <w:szCs w:val="28"/>
              </w:rPr>
              <w:t xml:space="preserve">My key audit procedures in relation to </w:t>
            </w:r>
            <w:r w:rsidR="001D77D8" w:rsidRPr="00ED00ED">
              <w:rPr>
                <w:rFonts w:ascii="Angsana New" w:hAnsi="Angsana New"/>
                <w:sz w:val="28"/>
                <w:szCs w:val="28"/>
              </w:rPr>
              <w:t>liabilities</w:t>
            </w:r>
            <w:r w:rsidR="00ED00ED">
              <w:rPr>
                <w:rFonts w:ascii="Angsana New" w:hAnsi="Angsana New"/>
                <w:sz w:val="28"/>
                <w:szCs w:val="28"/>
              </w:rPr>
              <w:t xml:space="preserve"> for incurred claims</w:t>
            </w:r>
            <w:r w:rsidRPr="00ED00ED">
              <w:rPr>
                <w:rFonts w:ascii="Angsana New" w:hAnsi="Angsana New"/>
                <w:sz w:val="28"/>
                <w:szCs w:val="28"/>
              </w:rPr>
              <w:t xml:space="preserve"> included the following:</w:t>
            </w:r>
          </w:p>
          <w:p w14:paraId="65DD8C61" w14:textId="6CECE158" w:rsidR="00ED00ED" w:rsidRPr="00ED00ED" w:rsidRDefault="00ED00ED" w:rsidP="0011277B">
            <w:pPr>
              <w:pStyle w:val="ListParagraph"/>
              <w:numPr>
                <w:ilvl w:val="0"/>
                <w:numId w:val="22"/>
              </w:numPr>
              <w:spacing w:before="120"/>
              <w:ind w:left="340" w:hanging="340"/>
              <w:contextualSpacing w:val="0"/>
              <w:jc w:val="thaiDistribute"/>
              <w:rPr>
                <w:rFonts w:ascii="Angsana New" w:hAnsi="Angsana New"/>
                <w:sz w:val="28"/>
                <w:szCs w:val="28"/>
              </w:rPr>
            </w:pPr>
            <w:r w:rsidRPr="00ED00ED">
              <w:rPr>
                <w:rFonts w:ascii="Angsana New" w:hAnsi="Angsana New"/>
                <w:sz w:val="28"/>
                <w:szCs w:val="28"/>
              </w:rPr>
              <w:t>Obtaining an understanding of the process for measuring liabilities for incurred claims, including an understanding of the related information technology control environment. This also included evaluating the appropriateness of the design of internal controls and performing sample testing of the operating effectiveness of such controls, in order to assess the adequacy and effectiveness of controls relevant to the measurement of insurance contract liabilities and the related information technology systems.</w:t>
            </w:r>
          </w:p>
          <w:p w14:paraId="7F5F58A0" w14:textId="2059CA33" w:rsidR="00ED00ED" w:rsidRDefault="00ED00ED" w:rsidP="00ED00ED">
            <w:pPr>
              <w:pStyle w:val="ListParagraph"/>
              <w:numPr>
                <w:ilvl w:val="0"/>
                <w:numId w:val="22"/>
              </w:numPr>
              <w:spacing w:before="120"/>
              <w:ind w:left="346" w:hanging="346"/>
              <w:contextualSpacing w:val="0"/>
              <w:jc w:val="thaiDistribute"/>
              <w:rPr>
                <w:rFonts w:ascii="Angsana New" w:hAnsi="Angsana New"/>
                <w:sz w:val="28"/>
                <w:szCs w:val="28"/>
              </w:rPr>
            </w:pPr>
            <w:r w:rsidRPr="00ED00ED">
              <w:rPr>
                <w:rFonts w:ascii="Angsana New" w:hAnsi="Angsana New"/>
                <w:sz w:val="28"/>
                <w:szCs w:val="28"/>
              </w:rPr>
              <w:t>Obtaining an understanding of, evaluating, and performing sample testing of the operating effectiveness of internal controls relating to the notification and payment of insurance claims.</w:t>
            </w:r>
          </w:p>
          <w:p w14:paraId="46058B31" w14:textId="77777777" w:rsidR="00E57A16" w:rsidRDefault="00E57A16" w:rsidP="00E57A16">
            <w:pPr>
              <w:pStyle w:val="ListParagraph"/>
              <w:spacing w:before="120"/>
              <w:ind w:left="346"/>
              <w:contextualSpacing w:val="0"/>
              <w:jc w:val="thaiDistribute"/>
              <w:rPr>
                <w:rFonts w:ascii="Angsana New" w:hAnsi="Angsana New"/>
                <w:sz w:val="28"/>
                <w:szCs w:val="28"/>
              </w:rPr>
            </w:pPr>
          </w:p>
          <w:p w14:paraId="07D7E7D7" w14:textId="59E39129" w:rsidR="00ED00ED" w:rsidRPr="00ED00ED" w:rsidRDefault="00ED00ED" w:rsidP="00ED00ED">
            <w:pPr>
              <w:pStyle w:val="ListParagraph"/>
              <w:numPr>
                <w:ilvl w:val="0"/>
                <w:numId w:val="22"/>
              </w:numPr>
              <w:spacing w:before="120"/>
              <w:ind w:left="346" w:hanging="346"/>
              <w:contextualSpacing w:val="0"/>
              <w:jc w:val="thaiDistribute"/>
              <w:rPr>
                <w:rFonts w:ascii="Angsana New" w:hAnsi="Angsana New"/>
                <w:sz w:val="28"/>
                <w:szCs w:val="28"/>
              </w:rPr>
            </w:pPr>
            <w:r w:rsidRPr="00ED00ED">
              <w:rPr>
                <w:rFonts w:ascii="Angsana New" w:hAnsi="Angsana New"/>
                <w:sz w:val="28"/>
                <w:szCs w:val="28"/>
              </w:rPr>
              <w:lastRenderedPageBreak/>
              <w:t>Performing sample testing of the approval and recording of notified claims and claims payments, and sample testing of incurred claims data and claims settlement data used in the preparation of claims development triangles. This also included reconciling the aggregated amounts of the sampled data to the totals reflected in the actuarial models.</w:t>
            </w:r>
          </w:p>
          <w:p w14:paraId="00E5E45F" w14:textId="3ECE4BF5" w:rsidR="00ED00ED" w:rsidRPr="00ED00ED" w:rsidRDefault="00ED00ED" w:rsidP="00ED00ED">
            <w:pPr>
              <w:pStyle w:val="ListParagraph"/>
              <w:numPr>
                <w:ilvl w:val="0"/>
                <w:numId w:val="22"/>
              </w:numPr>
              <w:spacing w:before="120"/>
              <w:ind w:left="346" w:hanging="346"/>
              <w:contextualSpacing w:val="0"/>
              <w:jc w:val="thaiDistribute"/>
              <w:rPr>
                <w:rFonts w:ascii="Angsana New" w:hAnsi="Angsana New"/>
                <w:sz w:val="28"/>
                <w:szCs w:val="28"/>
              </w:rPr>
            </w:pPr>
            <w:r w:rsidRPr="00ED00ED">
              <w:rPr>
                <w:rFonts w:ascii="Angsana New" w:hAnsi="Angsana New"/>
                <w:sz w:val="28"/>
                <w:szCs w:val="28"/>
              </w:rPr>
              <w:t>Involving the firm’s actuarial specialists to review the calculation methodologies by performing sample testing of the calculations of estimated future cash flows and the key assumptions used by the Company in estimating ultimate losses based on claims development triangles, as well as the determination of risk adjustments for non-financial risk. This also included performing analytical procedures on the movements of liabilities relating to estimated future cash flows and risk adjustments for non-financial risk.</w:t>
            </w:r>
          </w:p>
          <w:p w14:paraId="0E76CC02" w14:textId="2CD45096" w:rsidR="00ED00ED" w:rsidRPr="00ED00ED" w:rsidRDefault="00ED00ED" w:rsidP="00ED00ED">
            <w:pPr>
              <w:pStyle w:val="ListParagraph"/>
              <w:numPr>
                <w:ilvl w:val="0"/>
                <w:numId w:val="22"/>
              </w:numPr>
              <w:spacing w:before="120"/>
              <w:ind w:left="346" w:hanging="346"/>
              <w:contextualSpacing w:val="0"/>
              <w:jc w:val="thaiDistribute"/>
              <w:rPr>
                <w:rFonts w:ascii="Angsana New" w:hAnsi="Angsana New"/>
                <w:sz w:val="28"/>
                <w:szCs w:val="28"/>
              </w:rPr>
            </w:pPr>
            <w:r w:rsidRPr="00ED00ED">
              <w:rPr>
                <w:rFonts w:ascii="Angsana New" w:hAnsi="Angsana New"/>
                <w:sz w:val="28"/>
                <w:szCs w:val="28"/>
              </w:rPr>
              <w:t>Performing analytical procedures on loss ratios by line of business and analysing risk adjustment ratios for non-financial risk across groups of insurance contracts with similar risk characteristics.</w:t>
            </w:r>
          </w:p>
          <w:p w14:paraId="7E7D24BE" w14:textId="464DE2A6" w:rsidR="00ED00ED" w:rsidRDefault="00ED00ED" w:rsidP="00ED00ED">
            <w:pPr>
              <w:pStyle w:val="ListParagraph"/>
              <w:numPr>
                <w:ilvl w:val="0"/>
                <w:numId w:val="22"/>
              </w:numPr>
              <w:spacing w:before="120"/>
              <w:ind w:left="346" w:hanging="346"/>
              <w:contextualSpacing w:val="0"/>
              <w:jc w:val="thaiDistribute"/>
              <w:rPr>
                <w:rFonts w:ascii="Angsana New" w:hAnsi="Angsana New"/>
                <w:sz w:val="28"/>
                <w:szCs w:val="28"/>
              </w:rPr>
            </w:pPr>
            <w:r w:rsidRPr="00ED00ED">
              <w:rPr>
                <w:rFonts w:ascii="Angsana New" w:hAnsi="Angsana New"/>
                <w:sz w:val="28"/>
                <w:szCs w:val="28"/>
              </w:rPr>
              <w:t>Assessing the adequacy and appropriateness of disclosures relating to liabilities for incurred claims in the Company’s financial statements.</w:t>
            </w:r>
          </w:p>
          <w:p w14:paraId="70B38A5C" w14:textId="6739EA4B" w:rsidR="00ED00ED" w:rsidRPr="00ED00ED" w:rsidRDefault="00ED00ED" w:rsidP="00ED00ED">
            <w:pPr>
              <w:spacing w:before="120"/>
              <w:jc w:val="thaiDistribute"/>
              <w:rPr>
                <w:rFonts w:ascii="Angsana New" w:hAnsi="Angsana New"/>
                <w:sz w:val="28"/>
                <w:szCs w:val="28"/>
              </w:rPr>
            </w:pPr>
            <w:r w:rsidRPr="00ED00ED">
              <w:rPr>
                <w:rFonts w:ascii="Angsana New" w:hAnsi="Angsana New"/>
                <w:sz w:val="28"/>
                <w:szCs w:val="28"/>
              </w:rPr>
              <w:t>My key audit procedures in relation to liabilities</w:t>
            </w:r>
            <w:r>
              <w:rPr>
                <w:rFonts w:ascii="Angsana New" w:hAnsi="Angsana New"/>
                <w:sz w:val="28"/>
                <w:szCs w:val="28"/>
              </w:rPr>
              <w:t xml:space="preserve"> for remaining coverage</w:t>
            </w:r>
            <w:r w:rsidRPr="00ED00ED">
              <w:rPr>
                <w:rFonts w:ascii="Angsana New" w:hAnsi="Angsana New"/>
                <w:sz w:val="28"/>
                <w:szCs w:val="28"/>
              </w:rPr>
              <w:t xml:space="preserve"> included the following:</w:t>
            </w:r>
          </w:p>
          <w:p w14:paraId="2E5113F8" w14:textId="5D8FA713" w:rsidR="00ED00ED" w:rsidRPr="00ED00ED" w:rsidRDefault="00ED00ED" w:rsidP="00ED00ED">
            <w:pPr>
              <w:pStyle w:val="ListParagraph"/>
              <w:numPr>
                <w:ilvl w:val="0"/>
                <w:numId w:val="22"/>
              </w:numPr>
              <w:spacing w:before="120"/>
              <w:ind w:left="346" w:hanging="346"/>
              <w:jc w:val="thaiDistribute"/>
              <w:rPr>
                <w:rFonts w:ascii="Angsana New" w:hAnsi="Angsana New"/>
                <w:sz w:val="28"/>
                <w:szCs w:val="28"/>
              </w:rPr>
            </w:pPr>
            <w:r w:rsidRPr="00ED00ED">
              <w:rPr>
                <w:rFonts w:ascii="Angsana New" w:hAnsi="Angsana New"/>
                <w:sz w:val="28"/>
                <w:szCs w:val="28"/>
              </w:rPr>
              <w:t xml:space="preserve">Obtaining an understanding of the relevant processes and assessing the appropriateness of the application of the Premium Allocation Approach (PAA), including the grouping of insurance contracts, to ensure compliance with </w:t>
            </w:r>
            <w:r w:rsidRPr="00ED00ED">
              <w:rPr>
                <w:rFonts w:ascii="Angsana New" w:hAnsi="Angsana New"/>
                <w:sz w:val="28"/>
                <w:szCs w:val="28"/>
              </w:rPr>
              <w:lastRenderedPageBreak/>
              <w:t xml:space="preserve">the requirements of Thai Financial Reporting Standard No. 17 </w:t>
            </w:r>
            <w:r w:rsidR="00E57A16">
              <w:rPr>
                <w:rFonts w:ascii="Angsana New" w:hAnsi="Angsana New"/>
                <w:sz w:val="28"/>
                <w:szCs w:val="28"/>
              </w:rPr>
              <w:t>“</w:t>
            </w:r>
            <w:r w:rsidRPr="00ED00ED">
              <w:rPr>
                <w:rFonts w:ascii="Angsana New" w:hAnsi="Angsana New"/>
                <w:sz w:val="28"/>
                <w:szCs w:val="28"/>
              </w:rPr>
              <w:t>Insurance Contracts</w:t>
            </w:r>
            <w:r w:rsidR="00E57A16">
              <w:rPr>
                <w:rFonts w:ascii="Angsana New" w:hAnsi="Angsana New"/>
                <w:sz w:val="28"/>
                <w:szCs w:val="28"/>
              </w:rPr>
              <w:t>”</w:t>
            </w:r>
            <w:r w:rsidRPr="00ED00ED">
              <w:rPr>
                <w:rFonts w:ascii="Angsana New" w:hAnsi="Angsana New"/>
                <w:sz w:val="28"/>
                <w:szCs w:val="28"/>
              </w:rPr>
              <w:t>.</w:t>
            </w:r>
          </w:p>
          <w:p w14:paraId="7777E28A" w14:textId="448E9462" w:rsidR="00ED00ED" w:rsidRPr="00ED00ED" w:rsidRDefault="00ED00ED" w:rsidP="00ED00ED">
            <w:pPr>
              <w:pStyle w:val="ListParagraph"/>
              <w:numPr>
                <w:ilvl w:val="0"/>
                <w:numId w:val="22"/>
              </w:numPr>
              <w:spacing w:before="120"/>
              <w:ind w:left="346" w:hanging="346"/>
              <w:contextualSpacing w:val="0"/>
              <w:jc w:val="thaiDistribute"/>
              <w:rPr>
                <w:rFonts w:ascii="Angsana New" w:hAnsi="Angsana New"/>
                <w:sz w:val="28"/>
                <w:szCs w:val="28"/>
              </w:rPr>
            </w:pPr>
            <w:r w:rsidRPr="00ED00ED">
              <w:rPr>
                <w:rFonts w:ascii="Angsana New" w:hAnsi="Angsana New"/>
                <w:sz w:val="28"/>
                <w:szCs w:val="28"/>
              </w:rPr>
              <w:t>Evaluating the design and testing the operating effectiveness of internal controls relating to policy issuance, premium recording, revenue recognition, and the amortisation of insurance acquisition cash flows.</w:t>
            </w:r>
          </w:p>
          <w:p w14:paraId="3949979A" w14:textId="7A994CC4" w:rsidR="00FD016F" w:rsidRDefault="00ED00ED" w:rsidP="008759A9">
            <w:pPr>
              <w:pStyle w:val="ListParagraph"/>
              <w:numPr>
                <w:ilvl w:val="0"/>
                <w:numId w:val="22"/>
              </w:numPr>
              <w:spacing w:before="120"/>
              <w:ind w:left="346" w:hanging="346"/>
              <w:contextualSpacing w:val="0"/>
              <w:jc w:val="thaiDistribute"/>
              <w:rPr>
                <w:rFonts w:ascii="Angsana New" w:hAnsi="Angsana New"/>
                <w:sz w:val="28"/>
                <w:szCs w:val="28"/>
              </w:rPr>
            </w:pPr>
            <w:r w:rsidRPr="009604BA">
              <w:rPr>
                <w:rFonts w:ascii="Angsana New" w:hAnsi="Angsana New"/>
                <w:sz w:val="28"/>
                <w:szCs w:val="28"/>
              </w:rPr>
              <w:t xml:space="preserve">Performing sample testing of the accuracy and completeness of data used in the calculation of liabilities for remaining </w:t>
            </w:r>
            <w:r w:rsidR="00AE39B7" w:rsidRPr="009604BA">
              <w:rPr>
                <w:rFonts w:ascii="Angsana New" w:hAnsi="Angsana New"/>
                <w:sz w:val="28"/>
                <w:szCs w:val="28"/>
              </w:rPr>
              <w:t>coverage and</w:t>
            </w:r>
            <w:r w:rsidRPr="009604BA">
              <w:rPr>
                <w:rFonts w:ascii="Angsana New" w:hAnsi="Angsana New"/>
                <w:sz w:val="28"/>
                <w:szCs w:val="28"/>
              </w:rPr>
              <w:t xml:space="preserve"> testing the calculations of the amortisation of premiums and related expenses over the coverage period.</w:t>
            </w:r>
          </w:p>
          <w:p w14:paraId="5FF121EC" w14:textId="5E6065A4" w:rsidR="00ED00ED" w:rsidRPr="00ED00ED" w:rsidRDefault="00ED00ED" w:rsidP="00ED00ED">
            <w:pPr>
              <w:pStyle w:val="ListParagraph"/>
              <w:numPr>
                <w:ilvl w:val="0"/>
                <w:numId w:val="22"/>
              </w:numPr>
              <w:spacing w:before="120"/>
              <w:ind w:left="346" w:hanging="346"/>
              <w:contextualSpacing w:val="0"/>
              <w:jc w:val="thaiDistribute"/>
              <w:rPr>
                <w:rFonts w:ascii="Angsana New" w:hAnsi="Angsana New"/>
                <w:sz w:val="28"/>
                <w:szCs w:val="28"/>
              </w:rPr>
            </w:pPr>
            <w:r w:rsidRPr="00ED00ED">
              <w:rPr>
                <w:rFonts w:ascii="Angsana New" w:hAnsi="Angsana New"/>
                <w:sz w:val="28"/>
                <w:szCs w:val="28"/>
              </w:rPr>
              <w:t xml:space="preserve">Assessing the methodologies and assumptions used to identify and measure onerous contract components, including evaluating the reasonableness of estimates of future loss ratios and expenses, with the involvement of the </w:t>
            </w:r>
            <w:r w:rsidR="00FD016F">
              <w:rPr>
                <w:rFonts w:ascii="Angsana New" w:hAnsi="Angsana New"/>
                <w:sz w:val="28"/>
                <w:szCs w:val="28"/>
              </w:rPr>
              <w:t>f</w:t>
            </w:r>
            <w:r w:rsidRPr="00ED00ED">
              <w:rPr>
                <w:rFonts w:ascii="Angsana New" w:hAnsi="Angsana New"/>
                <w:sz w:val="28"/>
                <w:szCs w:val="28"/>
              </w:rPr>
              <w:t>irm’s actuarial specialists where relevant.</w:t>
            </w:r>
          </w:p>
          <w:p w14:paraId="40AF334D" w14:textId="3B351F84" w:rsidR="00ED00ED" w:rsidRPr="00ED00ED" w:rsidRDefault="00ED00ED" w:rsidP="00ED00ED">
            <w:pPr>
              <w:pStyle w:val="ListParagraph"/>
              <w:numPr>
                <w:ilvl w:val="0"/>
                <w:numId w:val="22"/>
              </w:numPr>
              <w:spacing w:before="120"/>
              <w:ind w:left="346" w:hanging="346"/>
              <w:contextualSpacing w:val="0"/>
              <w:jc w:val="thaiDistribute"/>
              <w:rPr>
                <w:rFonts w:ascii="Angsana New" w:hAnsi="Angsana New"/>
                <w:sz w:val="28"/>
                <w:szCs w:val="28"/>
              </w:rPr>
            </w:pPr>
            <w:r w:rsidRPr="00ED00ED">
              <w:rPr>
                <w:rFonts w:ascii="Angsana New" w:hAnsi="Angsana New"/>
                <w:sz w:val="28"/>
                <w:szCs w:val="28"/>
              </w:rPr>
              <w:t>Performing analytical procedures on movements in key estimates and risk adjustment ratios across groups of insurance contracts with similar risk characteristics.</w:t>
            </w:r>
          </w:p>
          <w:p w14:paraId="1F134AD8" w14:textId="597E1DCE" w:rsidR="00E57A16" w:rsidRPr="001242E1" w:rsidRDefault="00ED00ED" w:rsidP="00E57A16">
            <w:pPr>
              <w:pStyle w:val="ListParagraph"/>
              <w:numPr>
                <w:ilvl w:val="0"/>
                <w:numId w:val="22"/>
              </w:numPr>
              <w:spacing w:before="120"/>
              <w:ind w:left="346" w:hanging="346"/>
              <w:contextualSpacing w:val="0"/>
              <w:jc w:val="thaiDistribute"/>
            </w:pPr>
            <w:r w:rsidRPr="001242E1">
              <w:rPr>
                <w:rFonts w:ascii="Angsana New" w:hAnsi="Angsana New"/>
                <w:sz w:val="28"/>
                <w:szCs w:val="28"/>
              </w:rPr>
              <w:t>Assessing the adequacy and appropriateness of disclosures relating to liabilities for remaining coverage in the Company’s financial statements.</w:t>
            </w:r>
          </w:p>
        </w:tc>
      </w:tr>
      <w:tr w:rsidR="00E57A16" w:rsidRPr="004E21C6" w14:paraId="3FB3D17A" w14:textId="77777777" w:rsidTr="006A547C">
        <w:trPr>
          <w:trHeight w:val="2204"/>
        </w:trPr>
        <w:tc>
          <w:tcPr>
            <w:tcW w:w="4315" w:type="dxa"/>
            <w:tcBorders>
              <w:top w:val="single" w:sz="4" w:space="0" w:color="000000" w:themeColor="text1"/>
            </w:tcBorders>
          </w:tcPr>
          <w:p w14:paraId="5DB5E6CB" w14:textId="77777777" w:rsidR="00E57A16" w:rsidRDefault="00E57A16" w:rsidP="00A81E9F">
            <w:pPr>
              <w:jc w:val="thaiDistribute"/>
              <w:rPr>
                <w:rFonts w:asciiTheme="majorBidi" w:hAnsiTheme="majorBidi" w:cstheme="majorBidi"/>
                <w:b/>
                <w:bCs/>
                <w:sz w:val="28"/>
                <w:szCs w:val="28"/>
              </w:rPr>
            </w:pPr>
            <w:r w:rsidRPr="00A81E9F">
              <w:rPr>
                <w:rFonts w:asciiTheme="majorBidi" w:hAnsiTheme="majorBidi" w:cstheme="majorBidi"/>
                <w:b/>
                <w:bCs/>
                <w:sz w:val="28"/>
                <w:szCs w:val="28"/>
              </w:rPr>
              <w:lastRenderedPageBreak/>
              <w:t xml:space="preserve">Valuation of deferred tax </w:t>
            </w:r>
            <w:r>
              <w:rPr>
                <w:rFonts w:asciiTheme="majorBidi" w:hAnsiTheme="majorBidi" w:cstheme="majorBidi"/>
                <w:b/>
                <w:bCs/>
                <w:sz w:val="28"/>
                <w:szCs w:val="28"/>
              </w:rPr>
              <w:t>assets and deferred tax liabilities</w:t>
            </w:r>
          </w:p>
          <w:p w14:paraId="2663EE7D" w14:textId="77777777" w:rsidR="00E57A16" w:rsidRDefault="00E57A16" w:rsidP="00A81E9F">
            <w:pPr>
              <w:overflowPunct/>
              <w:autoSpaceDE/>
              <w:autoSpaceDN/>
              <w:adjustRightInd/>
              <w:spacing w:before="120"/>
              <w:jc w:val="thaiDistribute"/>
              <w:textAlignment w:val="auto"/>
              <w:rPr>
                <w:rFonts w:asciiTheme="majorBidi" w:hAnsiTheme="majorBidi" w:cstheme="majorBidi"/>
                <w:sz w:val="28"/>
                <w:szCs w:val="28"/>
              </w:rPr>
            </w:pPr>
            <w:r w:rsidRPr="00ED00ED">
              <w:rPr>
                <w:rFonts w:asciiTheme="majorBidi" w:hAnsiTheme="majorBidi" w:cstheme="majorBidi"/>
                <w:sz w:val="28"/>
                <w:szCs w:val="28"/>
              </w:rPr>
              <w:t xml:space="preserve">Refer to accounting policies no. </w:t>
            </w:r>
            <w:r w:rsidRPr="00ED00ED">
              <w:rPr>
                <w:rFonts w:asciiTheme="majorBidi" w:hAnsiTheme="majorBidi"/>
                <w:sz w:val="28"/>
                <w:szCs w:val="28"/>
                <w:cs/>
              </w:rPr>
              <w:t>3</w:t>
            </w:r>
            <w:r w:rsidRPr="00ED00ED">
              <w:rPr>
                <w:rFonts w:asciiTheme="majorBidi" w:hAnsiTheme="majorBidi"/>
                <w:sz w:val="28"/>
                <w:szCs w:val="28"/>
              </w:rPr>
              <w:t xml:space="preserve"> (</w:t>
            </w:r>
            <w:r>
              <w:rPr>
                <w:rFonts w:asciiTheme="majorBidi" w:hAnsiTheme="majorBidi"/>
                <w:sz w:val="28"/>
                <w:szCs w:val="28"/>
              </w:rPr>
              <w:t>n</w:t>
            </w:r>
            <w:r w:rsidRPr="00ED00ED">
              <w:rPr>
                <w:rFonts w:asciiTheme="majorBidi" w:hAnsiTheme="majorBidi"/>
                <w:sz w:val="28"/>
                <w:szCs w:val="28"/>
              </w:rPr>
              <w:t>)</w:t>
            </w:r>
            <w:r w:rsidRPr="00ED00ED">
              <w:rPr>
                <w:rFonts w:asciiTheme="majorBidi" w:hAnsiTheme="majorBidi" w:cstheme="majorBidi"/>
                <w:sz w:val="28"/>
                <w:szCs w:val="28"/>
              </w:rPr>
              <w:t xml:space="preserve"> and note </w:t>
            </w:r>
            <w:r>
              <w:rPr>
                <w:rFonts w:asciiTheme="majorBidi" w:hAnsiTheme="majorBidi" w:cstheme="majorBidi"/>
                <w:sz w:val="28"/>
                <w:szCs w:val="28"/>
              </w:rPr>
              <w:t>11</w:t>
            </w:r>
            <w:r w:rsidRPr="00ED00ED">
              <w:rPr>
                <w:rFonts w:asciiTheme="majorBidi" w:hAnsiTheme="majorBidi" w:cstheme="majorBidi"/>
                <w:sz w:val="28"/>
                <w:szCs w:val="28"/>
              </w:rPr>
              <w:t xml:space="preserve"> to the financial statements</w:t>
            </w:r>
          </w:p>
          <w:p w14:paraId="62C0FBBD" w14:textId="2F552A28" w:rsidR="00E57A16" w:rsidRDefault="00E57A16" w:rsidP="00A81E9F">
            <w:pPr>
              <w:overflowPunct/>
              <w:autoSpaceDE/>
              <w:autoSpaceDN/>
              <w:adjustRightInd/>
              <w:spacing w:before="120"/>
              <w:jc w:val="thaiDistribute"/>
              <w:textAlignment w:val="auto"/>
              <w:rPr>
                <w:rFonts w:asciiTheme="majorBidi" w:hAnsiTheme="majorBidi" w:cstheme="majorBidi"/>
                <w:sz w:val="28"/>
                <w:szCs w:val="28"/>
              </w:rPr>
            </w:pPr>
            <w:r w:rsidRPr="00A81E9F">
              <w:rPr>
                <w:rFonts w:asciiTheme="majorBidi" w:hAnsiTheme="majorBidi" w:cstheme="majorBidi"/>
                <w:sz w:val="28"/>
                <w:szCs w:val="28"/>
              </w:rPr>
              <w:t>In the current year, the Company adopted Thai Financial Reporting Standard No. 17</w:t>
            </w:r>
            <w:r>
              <w:rPr>
                <w:rFonts w:asciiTheme="majorBidi" w:hAnsiTheme="majorBidi" w:cstheme="majorBidi"/>
                <w:sz w:val="28"/>
                <w:szCs w:val="28"/>
              </w:rPr>
              <w:t xml:space="preserve"> “</w:t>
            </w:r>
            <w:r w:rsidRPr="00A81E9F">
              <w:rPr>
                <w:rFonts w:asciiTheme="majorBidi" w:hAnsiTheme="majorBidi" w:cstheme="majorBidi"/>
                <w:sz w:val="28"/>
                <w:szCs w:val="28"/>
              </w:rPr>
              <w:t>Insurance Contracts</w:t>
            </w:r>
            <w:r>
              <w:rPr>
                <w:rFonts w:asciiTheme="majorBidi" w:hAnsiTheme="majorBidi" w:cstheme="majorBidi"/>
                <w:sz w:val="28"/>
                <w:szCs w:val="28"/>
              </w:rPr>
              <w:t>”</w:t>
            </w:r>
            <w:r w:rsidRPr="00A81E9F">
              <w:rPr>
                <w:rFonts w:asciiTheme="majorBidi" w:hAnsiTheme="majorBidi" w:cstheme="majorBidi"/>
                <w:sz w:val="28"/>
                <w:szCs w:val="28"/>
              </w:rPr>
              <w:t xml:space="preserve"> in replacement of Thai Financial Reporting Standard No. 4. This resulted in significant changes to the recognition and measurement of insurance contract liabilities and related components in the financial statements. The transition to the new standard required the Company to recognise the cumulative impact of retrospective adjustments through opening retained earnings and gave rise to temporary differences between the carrying amounts and the tax bases of assets and liabilities.</w:t>
            </w:r>
          </w:p>
          <w:p w14:paraId="2FC799E1" w14:textId="77777777" w:rsidR="00E57A16" w:rsidRPr="00EC42BA" w:rsidRDefault="00E57A16" w:rsidP="00EC42BA">
            <w:pPr>
              <w:overflowPunct/>
              <w:autoSpaceDE/>
              <w:autoSpaceDN/>
              <w:adjustRightInd/>
              <w:spacing w:before="120"/>
              <w:jc w:val="thaiDistribute"/>
              <w:textAlignment w:val="auto"/>
              <w:rPr>
                <w:rFonts w:asciiTheme="majorBidi" w:hAnsiTheme="majorBidi" w:cstheme="majorBidi"/>
                <w:sz w:val="28"/>
                <w:szCs w:val="28"/>
              </w:rPr>
            </w:pPr>
            <w:r w:rsidRPr="00EC42BA">
              <w:rPr>
                <w:rFonts w:asciiTheme="majorBidi" w:hAnsiTheme="majorBidi" w:cstheme="majorBidi"/>
                <w:sz w:val="28"/>
                <w:szCs w:val="28"/>
              </w:rPr>
              <w:t>Such temporary differences resulted in the recognition of significant deferred tax assets and deferred tax liabilities. The calculation of these amounts is complex and requires management to exercise judgment in identifying temporary differences arising under this financial reporting standard and in assessing the recoverability of deferred tax assets, which depends on estimates of future taxable profits.</w:t>
            </w:r>
          </w:p>
          <w:p w14:paraId="17671892" w14:textId="77777777" w:rsidR="00E57A16" w:rsidRPr="008B491A" w:rsidRDefault="00E57A16" w:rsidP="00EC42BA">
            <w:pPr>
              <w:overflowPunct/>
              <w:autoSpaceDE/>
              <w:autoSpaceDN/>
              <w:adjustRightInd/>
              <w:spacing w:before="120"/>
              <w:jc w:val="thaiDistribute"/>
              <w:textAlignment w:val="auto"/>
              <w:rPr>
                <w:rFonts w:asciiTheme="majorBidi" w:hAnsiTheme="majorBidi" w:cstheme="majorBidi"/>
                <w:sz w:val="28"/>
                <w:szCs w:val="28"/>
              </w:rPr>
            </w:pPr>
            <w:r w:rsidRPr="008B491A">
              <w:rPr>
                <w:rFonts w:asciiTheme="majorBidi" w:hAnsiTheme="majorBidi" w:cstheme="majorBidi"/>
                <w:sz w:val="28"/>
                <w:szCs w:val="28"/>
              </w:rPr>
              <w:t>As at 31 December 2025, the Company had total deferred tax assets and deferred tax liabilities amounting to Baht 6.58 million, and Baht 13 million, respectively.</w:t>
            </w:r>
          </w:p>
          <w:p w14:paraId="5104E0F8" w14:textId="10C1290E" w:rsidR="007455F2" w:rsidRPr="00ED00ED" w:rsidRDefault="00E57A16" w:rsidP="007455F2">
            <w:pPr>
              <w:overflowPunct/>
              <w:autoSpaceDE/>
              <w:autoSpaceDN/>
              <w:adjustRightInd/>
              <w:spacing w:before="120" w:after="120"/>
              <w:jc w:val="thaiDistribute"/>
              <w:textAlignment w:val="auto"/>
              <w:rPr>
                <w:rFonts w:asciiTheme="majorBidi" w:hAnsiTheme="majorBidi" w:cstheme="majorBidi"/>
                <w:sz w:val="28"/>
                <w:szCs w:val="28"/>
              </w:rPr>
            </w:pPr>
            <w:r w:rsidRPr="00F84B52">
              <w:rPr>
                <w:rFonts w:asciiTheme="majorBidi" w:hAnsiTheme="majorBidi" w:cstheme="majorBidi"/>
                <w:spacing w:val="8"/>
                <w:sz w:val="28"/>
                <w:szCs w:val="28"/>
              </w:rPr>
              <w:lastRenderedPageBreak/>
              <w:t>Given that these amounts involve significant management</w:t>
            </w:r>
            <w:r w:rsidRPr="00EC42BA">
              <w:rPr>
                <w:rFonts w:asciiTheme="majorBidi" w:hAnsiTheme="majorBidi" w:cstheme="majorBidi"/>
                <w:sz w:val="28"/>
                <w:szCs w:val="28"/>
              </w:rPr>
              <w:t xml:space="preserve"> judgment and estimation, including the interpretation of relevant tax regulations, I therefore consider the measurement of deferred tax assets and deferred tax liabilities to be a key audit matter.</w:t>
            </w:r>
          </w:p>
        </w:tc>
        <w:tc>
          <w:tcPr>
            <w:tcW w:w="4920" w:type="dxa"/>
            <w:tcBorders>
              <w:top w:val="single" w:sz="4" w:space="0" w:color="000000" w:themeColor="text1"/>
              <w:bottom w:val="single" w:sz="4" w:space="0" w:color="000000" w:themeColor="text1"/>
            </w:tcBorders>
          </w:tcPr>
          <w:p w14:paraId="5942DF02" w14:textId="77777777" w:rsidR="00E57A16" w:rsidRPr="00A81E9F" w:rsidRDefault="00E57A16" w:rsidP="00E57A16">
            <w:pPr>
              <w:overflowPunct/>
              <w:autoSpaceDE/>
              <w:autoSpaceDN/>
              <w:adjustRightInd/>
              <w:jc w:val="thaiDistribute"/>
              <w:textAlignment w:val="auto"/>
              <w:rPr>
                <w:rFonts w:asciiTheme="majorBidi" w:hAnsiTheme="majorBidi" w:cstheme="majorBidi"/>
                <w:sz w:val="28"/>
                <w:szCs w:val="28"/>
              </w:rPr>
            </w:pPr>
            <w:r w:rsidRPr="00A81E9F">
              <w:rPr>
                <w:rFonts w:asciiTheme="majorBidi" w:hAnsiTheme="majorBidi" w:cstheme="majorBidi"/>
                <w:sz w:val="28"/>
                <w:szCs w:val="28"/>
              </w:rPr>
              <w:lastRenderedPageBreak/>
              <w:t>My key audit procedures in relation to the deferred tax included the following:</w:t>
            </w:r>
          </w:p>
          <w:p w14:paraId="75722EA8" w14:textId="53425AA0" w:rsidR="00E57A16" w:rsidRDefault="00E57A16" w:rsidP="00E57A16">
            <w:pPr>
              <w:pStyle w:val="ListParagraph"/>
              <w:numPr>
                <w:ilvl w:val="0"/>
                <w:numId w:val="22"/>
              </w:numPr>
              <w:spacing w:before="120"/>
              <w:ind w:left="346" w:hanging="346"/>
              <w:jc w:val="thaiDistribute"/>
              <w:rPr>
                <w:rFonts w:ascii="Angsana New" w:hAnsi="Angsana New"/>
                <w:sz w:val="28"/>
                <w:szCs w:val="28"/>
              </w:rPr>
            </w:pPr>
            <w:r w:rsidRPr="00A81E9F">
              <w:rPr>
                <w:rFonts w:ascii="Angsana New" w:hAnsi="Angsana New"/>
                <w:sz w:val="28"/>
                <w:szCs w:val="28"/>
              </w:rPr>
              <w:t xml:space="preserve">Obtaining an understanding of the impact of the transition from Thai Financial Reporting Standard No. 4 </w:t>
            </w:r>
            <w:r w:rsidR="007455F2">
              <w:rPr>
                <w:rFonts w:ascii="Angsana New" w:hAnsi="Angsana New"/>
                <w:sz w:val="28"/>
                <w:szCs w:val="28"/>
              </w:rPr>
              <w:t>“</w:t>
            </w:r>
            <w:r w:rsidRPr="00A81E9F">
              <w:rPr>
                <w:rFonts w:ascii="Angsana New" w:hAnsi="Angsana New"/>
                <w:sz w:val="28"/>
                <w:szCs w:val="28"/>
              </w:rPr>
              <w:t>Insurance Contracts</w:t>
            </w:r>
            <w:r w:rsidR="007455F2">
              <w:rPr>
                <w:rFonts w:ascii="Angsana New" w:hAnsi="Angsana New"/>
                <w:sz w:val="28"/>
                <w:szCs w:val="28"/>
              </w:rPr>
              <w:t>”</w:t>
            </w:r>
            <w:r w:rsidRPr="00A81E9F">
              <w:rPr>
                <w:rFonts w:ascii="Angsana New" w:hAnsi="Angsana New"/>
                <w:sz w:val="28"/>
                <w:szCs w:val="28"/>
              </w:rPr>
              <w:t xml:space="preserve"> to Thai Financial Reporting Standard No. 17 on the recognition and measurement of items in the financial statements and assessing the completeness of the identified temporary differences.</w:t>
            </w:r>
          </w:p>
          <w:p w14:paraId="01048CE0" w14:textId="77777777" w:rsidR="00A612FC" w:rsidRDefault="00A612FC" w:rsidP="00E57A16">
            <w:pPr>
              <w:pStyle w:val="ListParagraph"/>
              <w:numPr>
                <w:ilvl w:val="0"/>
                <w:numId w:val="22"/>
              </w:numPr>
              <w:spacing w:before="120"/>
              <w:ind w:left="346" w:hanging="346"/>
              <w:contextualSpacing w:val="0"/>
              <w:jc w:val="thaiDistribute"/>
              <w:rPr>
                <w:rFonts w:ascii="Angsana New" w:hAnsi="Angsana New"/>
                <w:sz w:val="28"/>
                <w:szCs w:val="28"/>
              </w:rPr>
            </w:pPr>
            <w:r w:rsidRPr="00A612FC">
              <w:rPr>
                <w:rFonts w:ascii="Angsana New" w:hAnsi="Angsana New"/>
                <w:sz w:val="28"/>
                <w:szCs w:val="28"/>
              </w:rPr>
              <w:t>Evaluating the Company’s internal data and key economic assumptions that affect the growth of gross written premium expenses and profit before tax, which are used as the basis for assessing the recoverability and utilization of deferred tax assets.</w:t>
            </w:r>
          </w:p>
          <w:p w14:paraId="780A5D6F" w14:textId="1894015A" w:rsidR="00E57A16" w:rsidRPr="00A81E9F" w:rsidRDefault="00E57A16" w:rsidP="00E57A16">
            <w:pPr>
              <w:pStyle w:val="ListParagraph"/>
              <w:numPr>
                <w:ilvl w:val="0"/>
                <w:numId w:val="22"/>
              </w:numPr>
              <w:spacing w:before="120"/>
              <w:ind w:left="346" w:hanging="346"/>
              <w:contextualSpacing w:val="0"/>
              <w:jc w:val="thaiDistribute"/>
              <w:rPr>
                <w:rFonts w:ascii="Angsana New" w:hAnsi="Angsana New"/>
                <w:sz w:val="28"/>
                <w:szCs w:val="28"/>
              </w:rPr>
            </w:pPr>
            <w:r w:rsidRPr="00A81E9F">
              <w:rPr>
                <w:rFonts w:ascii="Angsana New" w:hAnsi="Angsana New"/>
                <w:sz w:val="28"/>
                <w:szCs w:val="28"/>
              </w:rPr>
              <w:t>Analysing and comparing historical estimated taxable profits with actual taxable profits realised in order to assess the reasonableness of management’s judgment applied in estimating such taxable profits.</w:t>
            </w:r>
          </w:p>
          <w:p w14:paraId="623964AE" w14:textId="77777777" w:rsidR="007455F2" w:rsidRDefault="00E57A16" w:rsidP="007455F2">
            <w:pPr>
              <w:pStyle w:val="ListParagraph"/>
              <w:numPr>
                <w:ilvl w:val="0"/>
                <w:numId w:val="22"/>
              </w:numPr>
              <w:spacing w:before="120"/>
              <w:ind w:left="346" w:hanging="346"/>
              <w:contextualSpacing w:val="0"/>
              <w:jc w:val="thaiDistribute"/>
              <w:rPr>
                <w:rFonts w:ascii="Angsana New" w:hAnsi="Angsana New"/>
                <w:sz w:val="28"/>
                <w:szCs w:val="28"/>
              </w:rPr>
            </w:pPr>
            <w:r w:rsidRPr="007455F2">
              <w:rPr>
                <w:rFonts w:ascii="Angsana New" w:hAnsi="Angsana New"/>
                <w:sz w:val="28"/>
                <w:szCs w:val="28"/>
              </w:rPr>
              <w:t>Testing the calculation of forecast future taxable profits based on the aforementioned data and assumptions.</w:t>
            </w:r>
          </w:p>
          <w:p w14:paraId="43376894" w14:textId="03A8A443" w:rsidR="00E57A16" w:rsidRPr="007455F2" w:rsidRDefault="007455F2" w:rsidP="007455F2">
            <w:pPr>
              <w:pStyle w:val="ListParagraph"/>
              <w:numPr>
                <w:ilvl w:val="0"/>
                <w:numId w:val="22"/>
              </w:numPr>
              <w:spacing w:before="120"/>
              <w:ind w:left="346" w:hanging="346"/>
              <w:contextualSpacing w:val="0"/>
              <w:jc w:val="thaiDistribute"/>
              <w:rPr>
                <w:rFonts w:ascii="Angsana New" w:hAnsi="Angsana New"/>
                <w:sz w:val="28"/>
                <w:szCs w:val="28"/>
              </w:rPr>
            </w:pPr>
            <w:r w:rsidRPr="007455F2">
              <w:rPr>
                <w:rFonts w:ascii="Angsana New" w:hAnsi="Angsana New"/>
                <w:sz w:val="28"/>
                <w:szCs w:val="28"/>
              </w:rPr>
              <w:t xml:space="preserve">Assessing the adequacy and appropriateness of disclosures relating to </w:t>
            </w:r>
            <w:r>
              <w:rPr>
                <w:rFonts w:ascii="Angsana New" w:hAnsi="Angsana New"/>
                <w:sz w:val="28"/>
                <w:szCs w:val="28"/>
              </w:rPr>
              <w:t xml:space="preserve">deferred tax assets and liabilities in the </w:t>
            </w:r>
            <w:r w:rsidR="00672CD4">
              <w:rPr>
                <w:rFonts w:ascii="Angsana New" w:hAnsi="Angsana New"/>
                <w:sz w:val="28"/>
                <w:szCs w:val="28"/>
              </w:rPr>
              <w:t>C</w:t>
            </w:r>
            <w:r>
              <w:rPr>
                <w:rFonts w:ascii="Angsana New" w:hAnsi="Angsana New"/>
                <w:sz w:val="28"/>
                <w:szCs w:val="28"/>
              </w:rPr>
              <w:t>ompany</w:t>
            </w:r>
            <w:r w:rsidR="00672CD4">
              <w:rPr>
                <w:rFonts w:ascii="Angsana New" w:hAnsi="Angsana New"/>
                <w:sz w:val="28"/>
                <w:szCs w:val="28"/>
              </w:rPr>
              <w:t>’s financial statements</w:t>
            </w:r>
            <w:r>
              <w:rPr>
                <w:rFonts w:ascii="Angsana New" w:hAnsi="Angsana New"/>
                <w:sz w:val="28"/>
                <w:szCs w:val="28"/>
              </w:rPr>
              <w:t>.</w:t>
            </w:r>
          </w:p>
        </w:tc>
      </w:tr>
    </w:tbl>
    <w:p w14:paraId="2DE69A1B" w14:textId="02B2D9F9" w:rsidR="00BB0070" w:rsidRPr="00AF2F48" w:rsidRDefault="00C55462" w:rsidP="006C5D73">
      <w:pPr>
        <w:overflowPunct/>
        <w:autoSpaceDE/>
        <w:autoSpaceDN/>
        <w:adjustRightInd/>
        <w:spacing w:before="240" w:after="120"/>
        <w:textAlignment w:val="auto"/>
        <w:rPr>
          <w:rFonts w:asciiTheme="majorBidi" w:hAnsiTheme="majorBidi" w:cstheme="majorBidi"/>
          <w:b/>
          <w:bCs/>
          <w:sz w:val="28"/>
          <w:szCs w:val="28"/>
        </w:rPr>
      </w:pPr>
      <w:r w:rsidRPr="00AF2F48">
        <w:rPr>
          <w:rFonts w:asciiTheme="majorBidi" w:hAnsiTheme="majorBidi" w:cstheme="majorBidi"/>
          <w:b/>
          <w:bCs/>
          <w:sz w:val="28"/>
          <w:szCs w:val="28"/>
        </w:rPr>
        <w:t xml:space="preserve">Other </w:t>
      </w:r>
      <w:r w:rsidR="00E41011" w:rsidRPr="00AF2F48">
        <w:rPr>
          <w:rFonts w:asciiTheme="majorBidi" w:hAnsiTheme="majorBidi" w:cstheme="majorBidi"/>
          <w:b/>
          <w:bCs/>
          <w:sz w:val="28"/>
          <w:szCs w:val="28"/>
        </w:rPr>
        <w:t>m</w:t>
      </w:r>
      <w:r w:rsidRPr="00AF2F48">
        <w:rPr>
          <w:rFonts w:asciiTheme="majorBidi" w:hAnsiTheme="majorBidi" w:cstheme="majorBidi"/>
          <w:b/>
          <w:bCs/>
          <w:sz w:val="28"/>
          <w:szCs w:val="28"/>
        </w:rPr>
        <w:t>atter</w:t>
      </w:r>
    </w:p>
    <w:p w14:paraId="28AEFDE9" w14:textId="77777777" w:rsidR="004E21C6" w:rsidRDefault="004E21C6" w:rsidP="0011277B">
      <w:pPr>
        <w:overflowPunct/>
        <w:autoSpaceDE/>
        <w:autoSpaceDN/>
        <w:adjustRightInd/>
        <w:spacing w:before="120" w:after="120"/>
        <w:jc w:val="both"/>
        <w:textAlignment w:val="auto"/>
        <w:rPr>
          <w:rFonts w:ascii="Angsana New" w:hAnsi="Angsana New"/>
          <w:kern w:val="8"/>
          <w:sz w:val="28"/>
          <w:szCs w:val="28"/>
          <w:lang w:val="en-GB"/>
        </w:rPr>
      </w:pPr>
      <w:r w:rsidRPr="004E21C6">
        <w:rPr>
          <w:rFonts w:ascii="Angsana New" w:hAnsi="Angsana New"/>
          <w:kern w:val="8"/>
          <w:sz w:val="28"/>
          <w:szCs w:val="28"/>
          <w:lang w:val="en-GB" w:bidi="he-IL"/>
        </w:rPr>
        <w:t>The statement of financial position of Charan Insurance Public Company Limited as at 1 January 2024, which</w:t>
      </w:r>
      <w:r w:rsidRPr="004E21C6">
        <w:rPr>
          <w:rFonts w:ascii="Angsana New" w:hAnsi="Angsana New"/>
          <w:kern w:val="8"/>
          <w:sz w:val="28"/>
          <w:szCs w:val="28"/>
          <w:lang w:bidi="he-IL"/>
        </w:rPr>
        <w:t xml:space="preserve"> was not impacted by the adoption of Thai Financial Reporting Standard No. 9 “Financial Instruments”, Thai Financial Reporting Standard No. 7 “Financial Instruments: Disclosures” and Thai Financial Reporting Standard No. 17 “Insurance Contracts”, and which is </w:t>
      </w:r>
      <w:r w:rsidRPr="004E21C6">
        <w:rPr>
          <w:rFonts w:ascii="Angsana New" w:hAnsi="Angsana New"/>
          <w:kern w:val="8"/>
          <w:sz w:val="28"/>
          <w:szCs w:val="28"/>
          <w:lang w:val="en-GB" w:bidi="he-IL"/>
        </w:rPr>
        <w:t>presented as comparative figures, was audited by another auditor who expressed an unmodified opinion on that statement in a report dated 21 February 2024.</w:t>
      </w:r>
    </w:p>
    <w:p w14:paraId="1EDBFD90" w14:textId="77777777" w:rsidR="00210231" w:rsidRPr="009E19B6" w:rsidRDefault="00210231" w:rsidP="00210231">
      <w:pPr>
        <w:overflowPunct/>
        <w:autoSpaceDE/>
        <w:autoSpaceDN/>
        <w:adjustRightInd/>
        <w:spacing w:before="240" w:after="120"/>
        <w:textAlignment w:val="auto"/>
        <w:rPr>
          <w:rFonts w:asciiTheme="majorBidi" w:hAnsiTheme="majorBidi" w:cstheme="majorBidi"/>
          <w:b/>
          <w:bCs/>
          <w:sz w:val="28"/>
          <w:szCs w:val="28"/>
        </w:rPr>
      </w:pPr>
      <w:r w:rsidRPr="009E19B6">
        <w:rPr>
          <w:rFonts w:asciiTheme="majorBidi" w:hAnsiTheme="majorBidi" w:cstheme="majorBidi"/>
          <w:b/>
          <w:bCs/>
          <w:sz w:val="28"/>
          <w:szCs w:val="28"/>
        </w:rPr>
        <w:t xml:space="preserve">Other </w:t>
      </w:r>
      <w:r>
        <w:rPr>
          <w:rFonts w:asciiTheme="majorBidi" w:hAnsiTheme="majorBidi" w:cstheme="majorBidi"/>
          <w:b/>
          <w:bCs/>
          <w:sz w:val="28"/>
          <w:szCs w:val="28"/>
        </w:rPr>
        <w:t>i</w:t>
      </w:r>
      <w:r w:rsidRPr="009E19B6">
        <w:rPr>
          <w:rFonts w:asciiTheme="majorBidi" w:hAnsiTheme="majorBidi" w:cstheme="majorBidi"/>
          <w:b/>
          <w:bCs/>
          <w:sz w:val="28"/>
          <w:szCs w:val="28"/>
        </w:rPr>
        <w:t xml:space="preserve">nformation </w:t>
      </w:r>
    </w:p>
    <w:p w14:paraId="789B502E" w14:textId="4320EF04" w:rsidR="00210231" w:rsidRDefault="00210231" w:rsidP="00210231">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Management is responsible for the other information. The other information comprises the</w:t>
      </w:r>
      <w:r w:rsidR="007455F2">
        <w:rPr>
          <w:rFonts w:asciiTheme="majorBidi" w:hAnsiTheme="majorBidi" w:cstheme="majorBidi"/>
          <w:sz w:val="28"/>
          <w:szCs w:val="28"/>
        </w:rPr>
        <w:t xml:space="preserve"> information included in</w:t>
      </w:r>
      <w:r w:rsidRPr="009E19B6">
        <w:rPr>
          <w:rFonts w:asciiTheme="majorBidi" w:hAnsiTheme="majorBidi" w:cstheme="majorBidi"/>
          <w:sz w:val="28"/>
          <w:szCs w:val="28"/>
        </w:rPr>
        <w:t xml:space="preserve"> annual report</w:t>
      </w:r>
      <w:r>
        <w:rPr>
          <w:rFonts w:asciiTheme="majorBidi" w:hAnsiTheme="majorBidi" w:cstheme="majorBidi" w:hint="cs"/>
          <w:sz w:val="28"/>
          <w:szCs w:val="28"/>
          <w:cs/>
        </w:rPr>
        <w:t xml:space="preserve"> </w:t>
      </w:r>
      <w:r>
        <w:rPr>
          <w:rFonts w:asciiTheme="majorBidi" w:hAnsiTheme="majorBidi" w:cstheme="majorBidi"/>
          <w:sz w:val="28"/>
          <w:szCs w:val="28"/>
        </w:rPr>
        <w:t xml:space="preserve">of the </w:t>
      </w:r>
      <w:r w:rsidR="004E21C6">
        <w:rPr>
          <w:rFonts w:asciiTheme="majorBidi" w:hAnsiTheme="majorBidi" w:cstheme="majorBidi"/>
          <w:sz w:val="28"/>
          <w:szCs w:val="28"/>
        </w:rPr>
        <w:t>company but</w:t>
      </w:r>
      <w:r w:rsidRPr="009E19B6">
        <w:rPr>
          <w:rFonts w:asciiTheme="majorBidi" w:hAnsiTheme="majorBidi" w:cstheme="majorBidi"/>
          <w:sz w:val="28"/>
          <w:szCs w:val="28"/>
        </w:rPr>
        <w:t xml:space="preserve"> does not include the financial statements and my auditor’s report thereon</w:t>
      </w:r>
      <w:r>
        <w:rPr>
          <w:rFonts w:asciiTheme="majorBidi" w:hAnsiTheme="majorBidi" w:cstheme="majorBidi"/>
          <w:sz w:val="28"/>
          <w:szCs w:val="28"/>
        </w:rPr>
        <w:t xml:space="preserve">. The annual report of the Company is expected to be made available to me after </w:t>
      </w:r>
      <w:r w:rsidRPr="009E19B6">
        <w:rPr>
          <w:rFonts w:asciiTheme="majorBidi" w:hAnsiTheme="majorBidi" w:cstheme="majorBidi"/>
          <w:sz w:val="28"/>
          <w:szCs w:val="28"/>
        </w:rPr>
        <w:t xml:space="preserve">the date of this auditor's report. </w:t>
      </w:r>
    </w:p>
    <w:p w14:paraId="795FF0DD" w14:textId="38996EFB" w:rsidR="00210231" w:rsidRDefault="00210231" w:rsidP="00210231">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My opinion on the financial statements does not cover </w:t>
      </w:r>
      <w:r w:rsidR="004E21C6" w:rsidRPr="009E19B6">
        <w:rPr>
          <w:rFonts w:asciiTheme="majorBidi" w:hAnsiTheme="majorBidi" w:cstheme="majorBidi"/>
          <w:sz w:val="28"/>
          <w:szCs w:val="28"/>
        </w:rPr>
        <w:t>any</w:t>
      </w:r>
      <w:r w:rsidRPr="009E19B6">
        <w:rPr>
          <w:rFonts w:asciiTheme="majorBidi" w:hAnsiTheme="majorBidi" w:cstheme="majorBidi"/>
          <w:sz w:val="28"/>
          <w:szCs w:val="28"/>
        </w:rPr>
        <w:t xml:space="preserve"> other information and I </w:t>
      </w:r>
      <w:r>
        <w:rPr>
          <w:rFonts w:asciiTheme="majorBidi" w:hAnsiTheme="majorBidi" w:cstheme="majorBidi"/>
          <w:sz w:val="28"/>
          <w:szCs w:val="28"/>
        </w:rPr>
        <w:t>do</w:t>
      </w:r>
      <w:r w:rsidRPr="009E19B6">
        <w:rPr>
          <w:rFonts w:asciiTheme="majorBidi" w:hAnsiTheme="majorBidi" w:cstheme="majorBidi"/>
          <w:sz w:val="28"/>
          <w:szCs w:val="28"/>
        </w:rPr>
        <w:t xml:space="preserve"> not express any form of assurance conclusion thereon. </w:t>
      </w:r>
    </w:p>
    <w:p w14:paraId="70A84DBC" w14:textId="77777777" w:rsidR="00210231" w:rsidRPr="009E19B6" w:rsidRDefault="00210231" w:rsidP="00210231">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3BB2474" w14:textId="77777777" w:rsidR="00210231" w:rsidRDefault="00210231" w:rsidP="00210231">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When I read the annual report</w:t>
      </w:r>
      <w:r>
        <w:rPr>
          <w:rFonts w:asciiTheme="majorBidi" w:hAnsiTheme="majorBidi" w:cstheme="majorBidi"/>
          <w:sz w:val="28"/>
          <w:szCs w:val="28"/>
        </w:rPr>
        <w:t xml:space="preserve"> of the Company</w:t>
      </w:r>
      <w:r w:rsidRPr="009E19B6">
        <w:rPr>
          <w:rFonts w:asciiTheme="majorBidi" w:hAnsiTheme="majorBidi" w:cstheme="majorBidi"/>
          <w:sz w:val="28"/>
          <w:szCs w:val="28"/>
        </w:rPr>
        <w:t xml:space="preserve">, if I conclude that there is a material misstatement therein, I am required to communicate the matter to </w:t>
      </w:r>
      <w:r>
        <w:rPr>
          <w:rFonts w:asciiTheme="majorBidi" w:hAnsiTheme="majorBidi" w:cstheme="majorBidi"/>
          <w:sz w:val="28"/>
          <w:szCs w:val="28"/>
        </w:rPr>
        <w:t>those charged with governance for correction of the misstatement.</w:t>
      </w:r>
    </w:p>
    <w:p w14:paraId="3A82001A" w14:textId="77777777" w:rsidR="006A547C" w:rsidRDefault="006A547C" w:rsidP="00210231">
      <w:pPr>
        <w:spacing w:after="120"/>
        <w:ind w:right="-43"/>
        <w:jc w:val="thaiDistribute"/>
        <w:rPr>
          <w:rFonts w:asciiTheme="majorBidi" w:hAnsiTheme="majorBidi" w:cstheme="majorBidi"/>
          <w:sz w:val="28"/>
          <w:szCs w:val="28"/>
        </w:rPr>
      </w:pPr>
    </w:p>
    <w:p w14:paraId="56D86258" w14:textId="77777777" w:rsidR="006A547C" w:rsidRDefault="006A547C" w:rsidP="00210231">
      <w:pPr>
        <w:spacing w:after="120"/>
        <w:ind w:right="-43"/>
        <w:jc w:val="thaiDistribute"/>
        <w:rPr>
          <w:rFonts w:asciiTheme="majorBidi" w:hAnsiTheme="majorBidi" w:cstheme="majorBidi"/>
          <w:sz w:val="28"/>
          <w:szCs w:val="28"/>
        </w:rPr>
      </w:pPr>
    </w:p>
    <w:p w14:paraId="62CDE47C" w14:textId="77777777" w:rsidR="006A547C" w:rsidRDefault="006A547C" w:rsidP="00210231">
      <w:pPr>
        <w:spacing w:after="120"/>
        <w:ind w:right="-43"/>
        <w:jc w:val="thaiDistribute"/>
        <w:rPr>
          <w:rFonts w:asciiTheme="majorBidi" w:hAnsiTheme="majorBidi" w:cstheme="majorBidi"/>
          <w:sz w:val="28"/>
          <w:szCs w:val="28"/>
        </w:rPr>
      </w:pPr>
    </w:p>
    <w:p w14:paraId="282CA55F" w14:textId="77777777" w:rsidR="00210231" w:rsidRPr="002C5571" w:rsidRDefault="00210231" w:rsidP="0011277B">
      <w:pPr>
        <w:spacing w:before="240" w:after="120"/>
        <w:ind w:right="-45"/>
        <w:jc w:val="both"/>
        <w:rPr>
          <w:rFonts w:asciiTheme="majorBidi" w:hAnsiTheme="majorBidi" w:cstheme="majorBidi"/>
          <w:b/>
          <w:bCs/>
          <w:sz w:val="28"/>
          <w:szCs w:val="28"/>
        </w:rPr>
      </w:pPr>
      <w:r w:rsidRPr="002C5571">
        <w:rPr>
          <w:rFonts w:asciiTheme="majorBidi" w:hAnsiTheme="majorBidi" w:cstheme="majorBidi"/>
          <w:b/>
          <w:bCs/>
          <w:sz w:val="28"/>
          <w:szCs w:val="28"/>
        </w:rPr>
        <w:lastRenderedPageBreak/>
        <w:t xml:space="preserve">Responsibilities of </w:t>
      </w:r>
      <w:r>
        <w:rPr>
          <w:rFonts w:asciiTheme="majorBidi" w:hAnsiTheme="majorBidi" w:cstheme="majorBidi"/>
          <w:b/>
          <w:bCs/>
          <w:sz w:val="28"/>
          <w:szCs w:val="28"/>
        </w:rPr>
        <w:t>the m</w:t>
      </w:r>
      <w:r w:rsidRPr="002C5571">
        <w:rPr>
          <w:rFonts w:asciiTheme="majorBidi" w:hAnsiTheme="majorBidi" w:cstheme="majorBidi"/>
          <w:b/>
          <w:bCs/>
          <w:sz w:val="28"/>
          <w:szCs w:val="28"/>
        </w:rPr>
        <w:t>anagement</w:t>
      </w:r>
      <w:r>
        <w:rPr>
          <w:rFonts w:asciiTheme="majorBidi" w:hAnsiTheme="majorBidi" w:cstheme="majorBidi"/>
          <w:b/>
          <w:bCs/>
          <w:sz w:val="28"/>
          <w:szCs w:val="28"/>
        </w:rPr>
        <w:t xml:space="preserve"> and </w:t>
      </w:r>
      <w:r w:rsidRPr="00527A0F">
        <w:rPr>
          <w:rFonts w:asciiTheme="majorBidi" w:hAnsiTheme="majorBidi" w:cstheme="majorBidi"/>
          <w:b/>
          <w:bCs/>
          <w:sz w:val="28"/>
          <w:szCs w:val="28"/>
        </w:rPr>
        <w:t>those charged with governance</w:t>
      </w:r>
      <w:r w:rsidRPr="002C5571">
        <w:rPr>
          <w:rFonts w:asciiTheme="majorBidi" w:hAnsiTheme="majorBidi" w:cstheme="majorBidi"/>
          <w:b/>
          <w:bCs/>
          <w:sz w:val="28"/>
          <w:szCs w:val="28"/>
        </w:rPr>
        <w:t xml:space="preserve"> for the </w:t>
      </w:r>
      <w:r>
        <w:rPr>
          <w:rFonts w:asciiTheme="majorBidi" w:hAnsiTheme="majorBidi" w:cstheme="majorBidi"/>
          <w:b/>
          <w:bCs/>
          <w:sz w:val="28"/>
          <w:szCs w:val="28"/>
        </w:rPr>
        <w:t>f</w:t>
      </w:r>
      <w:r w:rsidRPr="002C5571">
        <w:rPr>
          <w:rFonts w:asciiTheme="majorBidi" w:hAnsiTheme="majorBidi" w:cstheme="majorBidi"/>
          <w:b/>
          <w:bCs/>
          <w:sz w:val="28"/>
          <w:szCs w:val="28"/>
        </w:rPr>
        <w:t xml:space="preserve">inancial </w:t>
      </w:r>
      <w:r>
        <w:rPr>
          <w:rFonts w:asciiTheme="majorBidi" w:hAnsiTheme="majorBidi" w:cstheme="majorBidi"/>
          <w:b/>
          <w:bCs/>
          <w:sz w:val="28"/>
          <w:szCs w:val="28"/>
        </w:rPr>
        <w:t>s</w:t>
      </w:r>
      <w:r w:rsidRPr="002C5571">
        <w:rPr>
          <w:rFonts w:asciiTheme="majorBidi" w:hAnsiTheme="majorBidi" w:cstheme="majorBidi"/>
          <w:b/>
          <w:bCs/>
          <w:sz w:val="28"/>
          <w:szCs w:val="28"/>
        </w:rPr>
        <w:t>tatements</w:t>
      </w:r>
    </w:p>
    <w:p w14:paraId="53D103D4" w14:textId="77777777" w:rsidR="00210231" w:rsidRPr="009E19B6" w:rsidRDefault="00210231" w:rsidP="00210231">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48CCAF3" w14:textId="77777777" w:rsidR="00210231" w:rsidRPr="009E19B6" w:rsidRDefault="00210231" w:rsidP="00210231">
      <w:pPr>
        <w:spacing w:after="120"/>
        <w:ind w:right="-43"/>
        <w:jc w:val="thaiDistribute"/>
        <w:rPr>
          <w:rFonts w:asciiTheme="majorBidi" w:hAnsiTheme="majorBidi" w:cstheme="majorBidi"/>
          <w:sz w:val="28"/>
          <w:szCs w:val="28"/>
        </w:rPr>
      </w:pPr>
      <w:r w:rsidRPr="009E19B6">
        <w:rPr>
          <w:rFonts w:asciiTheme="majorBidi" w:hAnsiTheme="majorBidi" w:cstheme="majorBidi"/>
          <w:sz w:val="28"/>
          <w:szCs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8528FDC" w14:textId="77777777" w:rsidR="00210231" w:rsidRDefault="00210231" w:rsidP="00210231">
      <w:pPr>
        <w:spacing w:after="120"/>
        <w:ind w:right="-43"/>
        <w:jc w:val="thaiDistribute"/>
        <w:rPr>
          <w:rFonts w:asciiTheme="majorBidi" w:hAnsiTheme="majorBidi" w:cstheme="majorBidi"/>
          <w:sz w:val="28"/>
          <w:szCs w:val="28"/>
        </w:rPr>
      </w:pPr>
      <w:r>
        <w:rPr>
          <w:rFonts w:asciiTheme="majorBidi" w:hAnsiTheme="majorBidi" w:cstheme="majorBidi"/>
          <w:sz w:val="28"/>
          <w:szCs w:val="28"/>
        </w:rPr>
        <w:t xml:space="preserve">Those charged with governance </w:t>
      </w:r>
      <w:r w:rsidRPr="00081AD9">
        <w:rPr>
          <w:rFonts w:asciiTheme="majorBidi" w:hAnsiTheme="majorBidi" w:cstheme="majorBidi"/>
          <w:sz w:val="28"/>
          <w:szCs w:val="28"/>
        </w:rPr>
        <w:t xml:space="preserve">are responsible for overseeing the Company’s financial reporting process. </w:t>
      </w:r>
    </w:p>
    <w:p w14:paraId="1265E4FC" w14:textId="77777777" w:rsidR="00210231" w:rsidRPr="009E19B6" w:rsidRDefault="00210231" w:rsidP="00210231">
      <w:pPr>
        <w:spacing w:before="240" w:after="120"/>
        <w:ind w:right="-43"/>
        <w:jc w:val="both"/>
        <w:rPr>
          <w:rFonts w:asciiTheme="majorBidi" w:hAnsiTheme="majorBidi" w:cstheme="majorBidi"/>
          <w:b/>
          <w:bCs/>
          <w:sz w:val="28"/>
          <w:szCs w:val="28"/>
        </w:rPr>
      </w:pPr>
      <w:r w:rsidRPr="009E19B6">
        <w:rPr>
          <w:rFonts w:asciiTheme="majorBidi" w:hAnsiTheme="majorBidi" w:cstheme="majorBidi"/>
          <w:b/>
          <w:bCs/>
          <w:sz w:val="28"/>
          <w:szCs w:val="28"/>
        </w:rPr>
        <w:t xml:space="preserve">Auditor’s </w:t>
      </w:r>
      <w:r>
        <w:rPr>
          <w:rFonts w:asciiTheme="majorBidi" w:hAnsiTheme="majorBidi" w:cstheme="majorBidi"/>
          <w:b/>
          <w:bCs/>
          <w:sz w:val="28"/>
          <w:szCs w:val="28"/>
        </w:rPr>
        <w:t>r</w:t>
      </w:r>
      <w:r w:rsidRPr="009E19B6">
        <w:rPr>
          <w:rFonts w:asciiTheme="majorBidi" w:hAnsiTheme="majorBidi" w:cstheme="majorBidi"/>
          <w:b/>
          <w:bCs/>
          <w:sz w:val="28"/>
          <w:szCs w:val="28"/>
        </w:rPr>
        <w:t xml:space="preserve">esponsibilities for the </w:t>
      </w:r>
      <w:r>
        <w:rPr>
          <w:rFonts w:asciiTheme="majorBidi" w:hAnsiTheme="majorBidi" w:cstheme="majorBidi"/>
          <w:b/>
          <w:bCs/>
          <w:sz w:val="28"/>
          <w:szCs w:val="28"/>
        </w:rPr>
        <w:t>a</w:t>
      </w:r>
      <w:r w:rsidRPr="009E19B6">
        <w:rPr>
          <w:rFonts w:asciiTheme="majorBidi" w:hAnsiTheme="majorBidi" w:cstheme="majorBidi"/>
          <w:b/>
          <w:bCs/>
          <w:sz w:val="28"/>
          <w:szCs w:val="28"/>
        </w:rPr>
        <w:t xml:space="preserve">udit of the </w:t>
      </w:r>
      <w:r>
        <w:rPr>
          <w:rFonts w:asciiTheme="majorBidi" w:hAnsiTheme="majorBidi" w:cstheme="majorBidi"/>
          <w:b/>
          <w:bCs/>
          <w:sz w:val="28"/>
          <w:szCs w:val="28"/>
        </w:rPr>
        <w:t>f</w:t>
      </w:r>
      <w:r w:rsidRPr="009E19B6">
        <w:rPr>
          <w:rFonts w:asciiTheme="majorBidi" w:hAnsiTheme="majorBidi" w:cstheme="majorBidi"/>
          <w:b/>
          <w:bCs/>
          <w:sz w:val="28"/>
          <w:szCs w:val="28"/>
        </w:rPr>
        <w:t xml:space="preserve">inancial </w:t>
      </w:r>
      <w:r>
        <w:rPr>
          <w:rFonts w:asciiTheme="majorBidi" w:hAnsiTheme="majorBidi" w:cstheme="majorBidi"/>
          <w:b/>
          <w:bCs/>
          <w:sz w:val="28"/>
          <w:szCs w:val="28"/>
        </w:rPr>
        <w:t>s</w:t>
      </w:r>
      <w:r w:rsidRPr="009E19B6">
        <w:rPr>
          <w:rFonts w:asciiTheme="majorBidi" w:hAnsiTheme="majorBidi" w:cstheme="majorBidi"/>
          <w:b/>
          <w:bCs/>
          <w:sz w:val="28"/>
          <w:szCs w:val="28"/>
        </w:rPr>
        <w:t xml:space="preserve">tatements </w:t>
      </w:r>
    </w:p>
    <w:p w14:paraId="6A0E46F9" w14:textId="77777777" w:rsidR="00210231" w:rsidRPr="009E19B6" w:rsidRDefault="00210231" w:rsidP="00210231">
      <w:pPr>
        <w:spacing w:after="120"/>
        <w:ind w:right="-43"/>
        <w:jc w:val="both"/>
        <w:rPr>
          <w:rFonts w:asciiTheme="majorBidi" w:hAnsiTheme="majorBidi" w:cstheme="majorBidi"/>
          <w:sz w:val="28"/>
          <w:szCs w:val="28"/>
        </w:rPr>
      </w:pPr>
      <w:r w:rsidRPr="009E19B6">
        <w:rPr>
          <w:rFonts w:asciiTheme="majorBidi" w:hAnsiTheme="majorBidi" w:cstheme="majorBidi"/>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40C5BDD6" w14:textId="54706787" w:rsidR="00210231" w:rsidRPr="009E19B6" w:rsidRDefault="00210231" w:rsidP="006A547C">
      <w:pPr>
        <w:overflowPunct/>
        <w:autoSpaceDE/>
        <w:autoSpaceDN/>
        <w:adjustRightInd/>
        <w:textAlignment w:val="auto"/>
        <w:rPr>
          <w:rFonts w:asciiTheme="majorBidi" w:hAnsiTheme="majorBidi" w:cstheme="majorBidi"/>
          <w:sz w:val="28"/>
          <w:szCs w:val="28"/>
        </w:rPr>
      </w:pPr>
      <w:r w:rsidRPr="009E19B6">
        <w:rPr>
          <w:rFonts w:asciiTheme="majorBidi" w:hAnsiTheme="majorBidi" w:cstheme="majorBidi"/>
          <w:sz w:val="28"/>
          <w:szCs w:val="28"/>
        </w:rPr>
        <w:t xml:space="preserve">As part of an audit in accordance with Thai Standards on Auditing, I exercise professional judgment and maintain professional skepticism throughout the audit. I also: </w:t>
      </w:r>
    </w:p>
    <w:p w14:paraId="7D108C7C" w14:textId="77777777" w:rsidR="00210231" w:rsidRPr="009E19B6" w:rsidRDefault="00210231" w:rsidP="00210231">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EEA77C4" w14:textId="77777777" w:rsidR="00210231" w:rsidRPr="009E19B6" w:rsidRDefault="00210231" w:rsidP="00210231">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Obtain an understanding of internal control relevant to the audit in order to design audit procedures that are appropriate in the circumstances, but not for the purpose of expressing an opinion on the effectiveness of the Company’s internal control.</w:t>
      </w:r>
    </w:p>
    <w:p w14:paraId="04018AD3" w14:textId="77777777" w:rsidR="00210231" w:rsidRDefault="00210231" w:rsidP="00210231">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appropriateness of accounting policies used and the reasonableness of accounting estimates and related disclosures made by management. </w:t>
      </w:r>
    </w:p>
    <w:p w14:paraId="6C60890E" w14:textId="33362E46" w:rsidR="00210231" w:rsidRPr="009E19B6" w:rsidRDefault="00210231" w:rsidP="00210231">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4E76C21D" w14:textId="77777777" w:rsidR="00210231" w:rsidRDefault="00210231" w:rsidP="00210231">
      <w:pPr>
        <w:pStyle w:val="ListParagraph"/>
        <w:numPr>
          <w:ilvl w:val="0"/>
          <w:numId w:val="8"/>
        </w:numPr>
        <w:overflowPunct/>
        <w:autoSpaceDE/>
        <w:autoSpaceDN/>
        <w:adjustRightInd/>
        <w:spacing w:before="120" w:after="120" w:line="240" w:lineRule="atLeast"/>
        <w:ind w:left="360" w:right="-43"/>
        <w:contextualSpacing w:val="0"/>
        <w:jc w:val="thaiDistribute"/>
        <w:textAlignment w:val="auto"/>
        <w:rPr>
          <w:rFonts w:asciiTheme="majorBidi" w:hAnsiTheme="majorBidi" w:cstheme="majorBidi"/>
          <w:sz w:val="28"/>
          <w:szCs w:val="28"/>
        </w:rPr>
      </w:pPr>
      <w:r w:rsidRPr="009E19B6">
        <w:rPr>
          <w:rFonts w:asciiTheme="majorBidi" w:hAnsiTheme="majorBidi" w:cstheme="majorBidi"/>
          <w:sz w:val="28"/>
          <w:szCs w:val="2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D01BF42" w14:textId="77777777" w:rsidR="00210231" w:rsidRPr="006B6333" w:rsidRDefault="00210231" w:rsidP="00210231">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I communicate with </w:t>
      </w:r>
      <w:r>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regarding, among other matters, the planned scope and timing of the audit and significant audit findings, including any significant deficiencies in internal control that I identify during my audit. </w:t>
      </w:r>
    </w:p>
    <w:p w14:paraId="07130FF6" w14:textId="77777777" w:rsidR="00210231" w:rsidRDefault="00210231" w:rsidP="00210231">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I also provide </w:t>
      </w:r>
      <w:r>
        <w:rPr>
          <w:rFonts w:asciiTheme="majorBidi" w:hAnsiTheme="majorBidi" w:cstheme="majorBidi"/>
          <w:sz w:val="28"/>
          <w:szCs w:val="28"/>
        </w:rPr>
        <w:t xml:space="preserve">those charged with governance </w:t>
      </w:r>
      <w:r w:rsidRPr="006B6333">
        <w:rPr>
          <w:rFonts w:ascii="Angsana New" w:hAnsi="Angsana New" w:cs="Angsana New"/>
          <w:sz w:val="28"/>
          <w:szCs w:val="28"/>
        </w:rPr>
        <w:t xml:space="preserve">with a statement that I have complied with relevant ethical requirements regarding independence, and to communicate with them all relationships and other matters that may reasonably be thought to bear on my independence, and where </w:t>
      </w:r>
      <w:r>
        <w:rPr>
          <w:rFonts w:ascii="Angsana New" w:hAnsi="Angsana New" w:cs="Angsana New"/>
          <w:sz w:val="28"/>
          <w:szCs w:val="28"/>
        </w:rPr>
        <w:t>applicable, related safeguards.</w:t>
      </w:r>
    </w:p>
    <w:p w14:paraId="015800B3" w14:textId="57DB6459" w:rsidR="00210231" w:rsidRDefault="00210231" w:rsidP="00210231">
      <w:pPr>
        <w:pStyle w:val="Default"/>
        <w:spacing w:after="120"/>
        <w:jc w:val="thaiDistribute"/>
        <w:rPr>
          <w:rFonts w:ascii="Angsana New" w:hAnsi="Angsana New" w:cs="Angsana New"/>
          <w:sz w:val="28"/>
          <w:szCs w:val="28"/>
        </w:rPr>
      </w:pPr>
      <w:r w:rsidRPr="006B6333">
        <w:rPr>
          <w:rFonts w:ascii="Angsana New" w:hAnsi="Angsana New" w:cs="Angsana New"/>
          <w:sz w:val="28"/>
          <w:szCs w:val="28"/>
        </w:rPr>
        <w:t xml:space="preserve">From the matters communicated with </w:t>
      </w:r>
      <w:r>
        <w:rPr>
          <w:rFonts w:asciiTheme="majorBidi" w:hAnsiTheme="majorBidi" w:cstheme="majorBidi"/>
          <w:sz w:val="28"/>
          <w:szCs w:val="28"/>
        </w:rPr>
        <w:t>those charged with governance</w:t>
      </w:r>
      <w:r w:rsidRPr="006B6333">
        <w:rPr>
          <w:rFonts w:ascii="Angsana New" w:hAnsi="Angsana New" w:cs="Angsana New"/>
          <w:sz w:val="28"/>
          <w:szCs w:val="28"/>
        </w:rPr>
        <w:t xml:space="preserv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9FBC37A" w14:textId="18FD74E9" w:rsidR="00C76527" w:rsidRDefault="00C76527">
      <w:pPr>
        <w:overflowPunct/>
        <w:autoSpaceDE/>
        <w:autoSpaceDN/>
        <w:adjustRightInd/>
        <w:textAlignment w:val="auto"/>
        <w:rPr>
          <w:rFonts w:asciiTheme="majorBidi" w:hAnsiTheme="majorBidi" w:cstheme="majorBidi"/>
          <w:b/>
          <w:bCs/>
          <w:sz w:val="28"/>
          <w:szCs w:val="28"/>
        </w:rPr>
      </w:pPr>
    </w:p>
    <w:p w14:paraId="552290C4" w14:textId="77777777" w:rsidR="00F10605" w:rsidRDefault="00F10605" w:rsidP="00F10605">
      <w:pPr>
        <w:ind w:right="-43"/>
        <w:jc w:val="both"/>
        <w:rPr>
          <w:rFonts w:asciiTheme="majorBidi" w:hAnsiTheme="majorBidi" w:cstheme="majorBidi"/>
          <w:sz w:val="28"/>
          <w:szCs w:val="28"/>
        </w:rPr>
      </w:pPr>
    </w:p>
    <w:p w14:paraId="3341F697" w14:textId="77777777" w:rsidR="009B545C" w:rsidRDefault="009B545C"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5FD18EB5" w14:textId="1D49CCC9" w:rsidR="00471CCE" w:rsidRDefault="00471CCE"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6D51C3EA" w:rsidR="00191460" w:rsidRPr="009E19B6" w:rsidRDefault="003927E0" w:rsidP="00191460">
      <w:pPr>
        <w:spacing w:before="240" w:line="380" w:lineRule="exact"/>
        <w:rPr>
          <w:rFonts w:asciiTheme="majorBidi" w:hAnsiTheme="majorBidi" w:cstheme="majorBidi"/>
          <w:b/>
          <w:bCs/>
          <w:sz w:val="28"/>
          <w:szCs w:val="28"/>
        </w:rPr>
      </w:pPr>
      <w:r>
        <w:rPr>
          <w:rFonts w:asciiTheme="majorBidi" w:hAnsiTheme="majorBidi" w:cstheme="majorBidi"/>
          <w:b/>
          <w:bCs/>
          <w:sz w:val="28"/>
          <w:szCs w:val="28"/>
        </w:rPr>
        <w:t xml:space="preserve">Forvis </w:t>
      </w:r>
      <w:r w:rsidR="00191460"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D26926" w:rsidRDefault="00191460" w:rsidP="00191460">
      <w:pPr>
        <w:spacing w:line="380" w:lineRule="exact"/>
        <w:rPr>
          <w:rFonts w:asciiTheme="majorBidi" w:hAnsiTheme="majorBidi" w:cstheme="majorBidi"/>
          <w:sz w:val="28"/>
          <w:szCs w:val="28"/>
        </w:rPr>
      </w:pPr>
      <w:r w:rsidRPr="00D26926">
        <w:rPr>
          <w:rFonts w:asciiTheme="majorBidi" w:hAnsiTheme="majorBidi" w:cstheme="majorBidi"/>
          <w:sz w:val="28"/>
          <w:szCs w:val="28"/>
        </w:rPr>
        <w:t>Bangkok</w:t>
      </w:r>
    </w:p>
    <w:p w14:paraId="6A8A06ED" w14:textId="266A627D" w:rsidR="00F10605" w:rsidRPr="009E19B6" w:rsidRDefault="00D97822" w:rsidP="00F10605">
      <w:pPr>
        <w:spacing w:line="380" w:lineRule="exact"/>
        <w:rPr>
          <w:rFonts w:asciiTheme="majorBidi" w:hAnsiTheme="majorBidi" w:cstheme="majorBidi"/>
          <w:sz w:val="28"/>
          <w:szCs w:val="28"/>
        </w:rPr>
      </w:pPr>
      <w:r w:rsidRPr="00D26926">
        <w:rPr>
          <w:rFonts w:asciiTheme="majorBidi" w:hAnsiTheme="majorBidi" w:cstheme="majorBidi"/>
          <w:sz w:val="28"/>
          <w:szCs w:val="28"/>
        </w:rPr>
        <w:t>2</w:t>
      </w:r>
      <w:r w:rsidR="00A96898">
        <w:rPr>
          <w:rFonts w:asciiTheme="majorBidi" w:hAnsiTheme="majorBidi" w:cstheme="majorBidi"/>
          <w:sz w:val="28"/>
          <w:szCs w:val="28"/>
        </w:rPr>
        <w:t>7</w:t>
      </w:r>
      <w:r w:rsidRPr="00D26926">
        <w:rPr>
          <w:rFonts w:asciiTheme="majorBidi" w:hAnsiTheme="majorBidi" w:cstheme="majorBidi"/>
          <w:sz w:val="28"/>
          <w:szCs w:val="28"/>
        </w:rPr>
        <w:t xml:space="preserve"> February 202</w:t>
      </w:r>
      <w:r w:rsidR="004E21C6">
        <w:rPr>
          <w:rFonts w:asciiTheme="majorBidi" w:hAnsiTheme="majorBidi" w:cstheme="majorBidi"/>
          <w:sz w:val="28"/>
          <w:szCs w:val="28"/>
        </w:rPr>
        <w:t>6</w:t>
      </w:r>
    </w:p>
    <w:sectPr w:rsidR="00F10605" w:rsidRPr="009E19B6" w:rsidSect="006A547C">
      <w:footerReference w:type="default" r:id="rId11"/>
      <w:footerReference w:type="first" r:id="rId12"/>
      <w:pgSz w:w="11909" w:h="16834" w:code="9"/>
      <w:pgMar w:top="378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0AAF9" w14:textId="77777777" w:rsidR="007F410C" w:rsidRDefault="007F410C" w:rsidP="008A2929">
      <w:r>
        <w:separator/>
      </w:r>
    </w:p>
  </w:endnote>
  <w:endnote w:type="continuationSeparator" w:id="0">
    <w:p w14:paraId="4FC7A164" w14:textId="77777777" w:rsidR="007F410C" w:rsidRDefault="007F410C"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3193F" w14:textId="77777777" w:rsidR="007F410C" w:rsidRDefault="007F410C" w:rsidP="008A2929">
      <w:r>
        <w:separator/>
      </w:r>
    </w:p>
  </w:footnote>
  <w:footnote w:type="continuationSeparator" w:id="0">
    <w:p w14:paraId="1F205C98" w14:textId="77777777" w:rsidR="007F410C" w:rsidRDefault="007F410C"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42B2"/>
    <w:multiLevelType w:val="hybridMultilevel"/>
    <w:tmpl w:val="D69A93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06CDF"/>
    <w:multiLevelType w:val="hybridMultilevel"/>
    <w:tmpl w:val="D9BA7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9" w15:restartNumberingAfterBreak="0">
    <w:nsid w:val="2C237D9D"/>
    <w:multiLevelType w:val="multilevel"/>
    <w:tmpl w:val="89B2E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E93619"/>
    <w:multiLevelType w:val="hybridMultilevel"/>
    <w:tmpl w:val="21B6B31A"/>
    <w:lvl w:ilvl="0" w:tplc="B92446C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C3E48AB"/>
    <w:multiLevelType w:val="hybridMultilevel"/>
    <w:tmpl w:val="0084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94D45"/>
    <w:multiLevelType w:val="hybridMultilevel"/>
    <w:tmpl w:val="9558DA6A"/>
    <w:lvl w:ilvl="0" w:tplc="B92446C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6"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7"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265419"/>
    <w:multiLevelType w:val="hybridMultilevel"/>
    <w:tmpl w:val="F05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043BA4"/>
    <w:multiLevelType w:val="hybridMultilevel"/>
    <w:tmpl w:val="61741B62"/>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63912781">
    <w:abstractNumId w:val="15"/>
  </w:num>
  <w:num w:numId="2" w16cid:durableId="988703595">
    <w:abstractNumId w:val="22"/>
  </w:num>
  <w:num w:numId="3" w16cid:durableId="2021200075">
    <w:abstractNumId w:val="17"/>
  </w:num>
  <w:num w:numId="4" w16cid:durableId="767120466">
    <w:abstractNumId w:val="3"/>
  </w:num>
  <w:num w:numId="5" w16cid:durableId="1888955995">
    <w:abstractNumId w:val="16"/>
  </w:num>
  <w:num w:numId="6" w16cid:durableId="656226354">
    <w:abstractNumId w:val="6"/>
  </w:num>
  <w:num w:numId="7" w16cid:durableId="1790589735">
    <w:abstractNumId w:val="23"/>
  </w:num>
  <w:num w:numId="8" w16cid:durableId="1895967359">
    <w:abstractNumId w:val="2"/>
  </w:num>
  <w:num w:numId="9" w16cid:durableId="930284650">
    <w:abstractNumId w:val="21"/>
  </w:num>
  <w:num w:numId="10" w16cid:durableId="1385910286">
    <w:abstractNumId w:val="13"/>
  </w:num>
  <w:num w:numId="11" w16cid:durableId="1346588781">
    <w:abstractNumId w:val="10"/>
  </w:num>
  <w:num w:numId="12" w16cid:durableId="1181119125">
    <w:abstractNumId w:val="8"/>
  </w:num>
  <w:num w:numId="13" w16cid:durableId="1017463014">
    <w:abstractNumId w:val="18"/>
  </w:num>
  <w:num w:numId="14" w16cid:durableId="946083905">
    <w:abstractNumId w:val="20"/>
  </w:num>
  <w:num w:numId="15" w16cid:durableId="1220748123">
    <w:abstractNumId w:val="5"/>
  </w:num>
  <w:num w:numId="16" w16cid:durableId="396904727">
    <w:abstractNumId w:val="7"/>
  </w:num>
  <w:num w:numId="17" w16cid:durableId="1601137018">
    <w:abstractNumId w:val="4"/>
  </w:num>
  <w:num w:numId="18" w16cid:durableId="953708944">
    <w:abstractNumId w:val="1"/>
  </w:num>
  <w:num w:numId="19" w16cid:durableId="846673689">
    <w:abstractNumId w:val="0"/>
  </w:num>
  <w:num w:numId="20" w16cid:durableId="1046610905">
    <w:abstractNumId w:val="12"/>
  </w:num>
  <w:num w:numId="21" w16cid:durableId="154809679">
    <w:abstractNumId w:val="19"/>
  </w:num>
  <w:num w:numId="22" w16cid:durableId="509099605">
    <w:abstractNumId w:val="11"/>
  </w:num>
  <w:num w:numId="23" w16cid:durableId="2029066234">
    <w:abstractNumId w:val="24"/>
  </w:num>
  <w:num w:numId="24" w16cid:durableId="209656471">
    <w:abstractNumId w:val="14"/>
  </w:num>
  <w:num w:numId="25" w16cid:durableId="10856915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3308"/>
    <w:rsid w:val="0000370B"/>
    <w:rsid w:val="00005327"/>
    <w:rsid w:val="00015972"/>
    <w:rsid w:val="00020306"/>
    <w:rsid w:val="0002313B"/>
    <w:rsid w:val="00023BF9"/>
    <w:rsid w:val="000241A8"/>
    <w:rsid w:val="00027B05"/>
    <w:rsid w:val="000352C5"/>
    <w:rsid w:val="00036130"/>
    <w:rsid w:val="000507AB"/>
    <w:rsid w:val="00052CC4"/>
    <w:rsid w:val="00054E10"/>
    <w:rsid w:val="00055300"/>
    <w:rsid w:val="00056D37"/>
    <w:rsid w:val="00057B97"/>
    <w:rsid w:val="00062B93"/>
    <w:rsid w:val="00066863"/>
    <w:rsid w:val="00084344"/>
    <w:rsid w:val="00095E41"/>
    <w:rsid w:val="000A1A5C"/>
    <w:rsid w:val="000A1C7A"/>
    <w:rsid w:val="000A3175"/>
    <w:rsid w:val="000A50DF"/>
    <w:rsid w:val="000B0243"/>
    <w:rsid w:val="000B3840"/>
    <w:rsid w:val="000B5B56"/>
    <w:rsid w:val="000B7CF1"/>
    <w:rsid w:val="000C56F9"/>
    <w:rsid w:val="000C5A04"/>
    <w:rsid w:val="000D79F1"/>
    <w:rsid w:val="000E18E1"/>
    <w:rsid w:val="000E3E9A"/>
    <w:rsid w:val="000F0EF3"/>
    <w:rsid w:val="000F4784"/>
    <w:rsid w:val="00100A78"/>
    <w:rsid w:val="00106E87"/>
    <w:rsid w:val="00107E67"/>
    <w:rsid w:val="00110CAA"/>
    <w:rsid w:val="0011173A"/>
    <w:rsid w:val="00112523"/>
    <w:rsid w:val="0011277B"/>
    <w:rsid w:val="00116AB4"/>
    <w:rsid w:val="00120DBA"/>
    <w:rsid w:val="00120ECC"/>
    <w:rsid w:val="00121785"/>
    <w:rsid w:val="001219BA"/>
    <w:rsid w:val="001242E1"/>
    <w:rsid w:val="001253D4"/>
    <w:rsid w:val="00126829"/>
    <w:rsid w:val="00130310"/>
    <w:rsid w:val="001308DD"/>
    <w:rsid w:val="001310CE"/>
    <w:rsid w:val="001340D6"/>
    <w:rsid w:val="00134B71"/>
    <w:rsid w:val="00137EFA"/>
    <w:rsid w:val="00140FDF"/>
    <w:rsid w:val="00143143"/>
    <w:rsid w:val="0014345D"/>
    <w:rsid w:val="00145770"/>
    <w:rsid w:val="00145AF4"/>
    <w:rsid w:val="00150704"/>
    <w:rsid w:val="00151766"/>
    <w:rsid w:val="00155730"/>
    <w:rsid w:val="00156837"/>
    <w:rsid w:val="00161F81"/>
    <w:rsid w:val="0016282B"/>
    <w:rsid w:val="00162CB1"/>
    <w:rsid w:val="001659D6"/>
    <w:rsid w:val="00174E5F"/>
    <w:rsid w:val="001760E4"/>
    <w:rsid w:val="00177424"/>
    <w:rsid w:val="001811BD"/>
    <w:rsid w:val="0018128F"/>
    <w:rsid w:val="00191460"/>
    <w:rsid w:val="001A1461"/>
    <w:rsid w:val="001B0B2E"/>
    <w:rsid w:val="001B2EC5"/>
    <w:rsid w:val="001B65E9"/>
    <w:rsid w:val="001C727D"/>
    <w:rsid w:val="001D77D8"/>
    <w:rsid w:val="001E071D"/>
    <w:rsid w:val="001E5929"/>
    <w:rsid w:val="001E6357"/>
    <w:rsid w:val="001F0552"/>
    <w:rsid w:val="001F1511"/>
    <w:rsid w:val="00202A02"/>
    <w:rsid w:val="00202ACB"/>
    <w:rsid w:val="002038D2"/>
    <w:rsid w:val="00203FBA"/>
    <w:rsid w:val="00210231"/>
    <w:rsid w:val="002138E2"/>
    <w:rsid w:val="00216733"/>
    <w:rsid w:val="00217285"/>
    <w:rsid w:val="00217443"/>
    <w:rsid w:val="0022612B"/>
    <w:rsid w:val="0022692C"/>
    <w:rsid w:val="00227FB5"/>
    <w:rsid w:val="0023009D"/>
    <w:rsid w:val="002345CD"/>
    <w:rsid w:val="00234D5E"/>
    <w:rsid w:val="00241197"/>
    <w:rsid w:val="00241D75"/>
    <w:rsid w:val="0024219E"/>
    <w:rsid w:val="00244C0F"/>
    <w:rsid w:val="00254C74"/>
    <w:rsid w:val="00257262"/>
    <w:rsid w:val="00257C8C"/>
    <w:rsid w:val="0026032A"/>
    <w:rsid w:val="002638B1"/>
    <w:rsid w:val="00265660"/>
    <w:rsid w:val="00271458"/>
    <w:rsid w:val="002743F4"/>
    <w:rsid w:val="002822FE"/>
    <w:rsid w:val="00287506"/>
    <w:rsid w:val="00292AAE"/>
    <w:rsid w:val="00293069"/>
    <w:rsid w:val="0029383C"/>
    <w:rsid w:val="00295C34"/>
    <w:rsid w:val="002A7A77"/>
    <w:rsid w:val="002B61EF"/>
    <w:rsid w:val="002B7F2C"/>
    <w:rsid w:val="002C5571"/>
    <w:rsid w:val="002C6A32"/>
    <w:rsid w:val="002D0F12"/>
    <w:rsid w:val="002D15FF"/>
    <w:rsid w:val="002D1BD6"/>
    <w:rsid w:val="002D36DE"/>
    <w:rsid w:val="002D53B4"/>
    <w:rsid w:val="002D7252"/>
    <w:rsid w:val="002E4246"/>
    <w:rsid w:val="002E5653"/>
    <w:rsid w:val="002E5DCB"/>
    <w:rsid w:val="002E72B2"/>
    <w:rsid w:val="00300438"/>
    <w:rsid w:val="00305EDD"/>
    <w:rsid w:val="00306381"/>
    <w:rsid w:val="00306E9C"/>
    <w:rsid w:val="003072A7"/>
    <w:rsid w:val="00315900"/>
    <w:rsid w:val="00316F44"/>
    <w:rsid w:val="003228F5"/>
    <w:rsid w:val="00332F84"/>
    <w:rsid w:val="00334817"/>
    <w:rsid w:val="003363A6"/>
    <w:rsid w:val="00340211"/>
    <w:rsid w:val="00340A0F"/>
    <w:rsid w:val="00341DCF"/>
    <w:rsid w:val="00342379"/>
    <w:rsid w:val="0034412D"/>
    <w:rsid w:val="00346707"/>
    <w:rsid w:val="00346E4C"/>
    <w:rsid w:val="0035007A"/>
    <w:rsid w:val="00354C64"/>
    <w:rsid w:val="00357093"/>
    <w:rsid w:val="00357587"/>
    <w:rsid w:val="00366661"/>
    <w:rsid w:val="00371668"/>
    <w:rsid w:val="00372F2C"/>
    <w:rsid w:val="00375172"/>
    <w:rsid w:val="003927E0"/>
    <w:rsid w:val="00393ADC"/>
    <w:rsid w:val="0039490B"/>
    <w:rsid w:val="00396A4C"/>
    <w:rsid w:val="003979DD"/>
    <w:rsid w:val="003B13C1"/>
    <w:rsid w:val="003B344F"/>
    <w:rsid w:val="003B6CB3"/>
    <w:rsid w:val="003C274F"/>
    <w:rsid w:val="003D1849"/>
    <w:rsid w:val="003D5C7C"/>
    <w:rsid w:val="003D6374"/>
    <w:rsid w:val="003E1AA5"/>
    <w:rsid w:val="003E69BE"/>
    <w:rsid w:val="003F4825"/>
    <w:rsid w:val="003F492B"/>
    <w:rsid w:val="00413C22"/>
    <w:rsid w:val="00422E13"/>
    <w:rsid w:val="00434941"/>
    <w:rsid w:val="004475EC"/>
    <w:rsid w:val="0045457F"/>
    <w:rsid w:val="0045672B"/>
    <w:rsid w:val="0046486D"/>
    <w:rsid w:val="00464891"/>
    <w:rsid w:val="00464B68"/>
    <w:rsid w:val="00467176"/>
    <w:rsid w:val="00471764"/>
    <w:rsid w:val="00471CCE"/>
    <w:rsid w:val="00471CD5"/>
    <w:rsid w:val="004742E7"/>
    <w:rsid w:val="00474C0E"/>
    <w:rsid w:val="0049206B"/>
    <w:rsid w:val="00493F27"/>
    <w:rsid w:val="0049737E"/>
    <w:rsid w:val="004A23E7"/>
    <w:rsid w:val="004A7A3E"/>
    <w:rsid w:val="004B1AB9"/>
    <w:rsid w:val="004B20DC"/>
    <w:rsid w:val="004B37E2"/>
    <w:rsid w:val="004B38CC"/>
    <w:rsid w:val="004B3C53"/>
    <w:rsid w:val="004C110C"/>
    <w:rsid w:val="004C4629"/>
    <w:rsid w:val="004C4A8D"/>
    <w:rsid w:val="004D0AD0"/>
    <w:rsid w:val="004D14E3"/>
    <w:rsid w:val="004D226E"/>
    <w:rsid w:val="004D27B4"/>
    <w:rsid w:val="004D3A42"/>
    <w:rsid w:val="004D519F"/>
    <w:rsid w:val="004D5372"/>
    <w:rsid w:val="004D561B"/>
    <w:rsid w:val="004D71D1"/>
    <w:rsid w:val="004E21C6"/>
    <w:rsid w:val="004E2588"/>
    <w:rsid w:val="004E4293"/>
    <w:rsid w:val="004F4B03"/>
    <w:rsid w:val="00501049"/>
    <w:rsid w:val="0051461C"/>
    <w:rsid w:val="00523E4A"/>
    <w:rsid w:val="00527A0F"/>
    <w:rsid w:val="00530412"/>
    <w:rsid w:val="00535AFF"/>
    <w:rsid w:val="00540AB9"/>
    <w:rsid w:val="00541584"/>
    <w:rsid w:val="00542176"/>
    <w:rsid w:val="005463EB"/>
    <w:rsid w:val="00550343"/>
    <w:rsid w:val="00553FD3"/>
    <w:rsid w:val="00555896"/>
    <w:rsid w:val="005559B0"/>
    <w:rsid w:val="00556809"/>
    <w:rsid w:val="00556AD4"/>
    <w:rsid w:val="005629BE"/>
    <w:rsid w:val="00564551"/>
    <w:rsid w:val="00567DC0"/>
    <w:rsid w:val="00574BA1"/>
    <w:rsid w:val="00575411"/>
    <w:rsid w:val="00580008"/>
    <w:rsid w:val="00587E2D"/>
    <w:rsid w:val="0059249C"/>
    <w:rsid w:val="005975E1"/>
    <w:rsid w:val="005A2CE2"/>
    <w:rsid w:val="005A63BB"/>
    <w:rsid w:val="005B13E4"/>
    <w:rsid w:val="005C0205"/>
    <w:rsid w:val="005C7315"/>
    <w:rsid w:val="005D0D73"/>
    <w:rsid w:val="005D36DD"/>
    <w:rsid w:val="005D373B"/>
    <w:rsid w:val="005F07A8"/>
    <w:rsid w:val="006002A9"/>
    <w:rsid w:val="00605401"/>
    <w:rsid w:val="0060606A"/>
    <w:rsid w:val="006070E2"/>
    <w:rsid w:val="00607576"/>
    <w:rsid w:val="00612594"/>
    <w:rsid w:val="0061423C"/>
    <w:rsid w:val="0061500A"/>
    <w:rsid w:val="00615EE5"/>
    <w:rsid w:val="00621101"/>
    <w:rsid w:val="00625E04"/>
    <w:rsid w:val="00626364"/>
    <w:rsid w:val="00634DBF"/>
    <w:rsid w:val="00641211"/>
    <w:rsid w:val="00643FDF"/>
    <w:rsid w:val="0064720A"/>
    <w:rsid w:val="0065230B"/>
    <w:rsid w:val="00653467"/>
    <w:rsid w:val="00653739"/>
    <w:rsid w:val="00653C7F"/>
    <w:rsid w:val="00655E3D"/>
    <w:rsid w:val="0066039F"/>
    <w:rsid w:val="00662BCB"/>
    <w:rsid w:val="0066372B"/>
    <w:rsid w:val="00665783"/>
    <w:rsid w:val="006663C9"/>
    <w:rsid w:val="00671414"/>
    <w:rsid w:val="00672CD4"/>
    <w:rsid w:val="00675EC3"/>
    <w:rsid w:val="00682653"/>
    <w:rsid w:val="00692464"/>
    <w:rsid w:val="006924CA"/>
    <w:rsid w:val="00695590"/>
    <w:rsid w:val="006A18CD"/>
    <w:rsid w:val="006A35F3"/>
    <w:rsid w:val="006A547C"/>
    <w:rsid w:val="006B0799"/>
    <w:rsid w:val="006B1CC4"/>
    <w:rsid w:val="006B42B1"/>
    <w:rsid w:val="006B4A0B"/>
    <w:rsid w:val="006C1963"/>
    <w:rsid w:val="006C5D73"/>
    <w:rsid w:val="006C6DED"/>
    <w:rsid w:val="006C6FFA"/>
    <w:rsid w:val="006D0D34"/>
    <w:rsid w:val="006D0EF4"/>
    <w:rsid w:val="006D5171"/>
    <w:rsid w:val="006D6866"/>
    <w:rsid w:val="006E21D2"/>
    <w:rsid w:val="006E31F2"/>
    <w:rsid w:val="006E3734"/>
    <w:rsid w:val="006F4911"/>
    <w:rsid w:val="006F79AB"/>
    <w:rsid w:val="006F7CBE"/>
    <w:rsid w:val="0070606F"/>
    <w:rsid w:val="00715099"/>
    <w:rsid w:val="007160E6"/>
    <w:rsid w:val="00722EB3"/>
    <w:rsid w:val="0073298A"/>
    <w:rsid w:val="0073374F"/>
    <w:rsid w:val="007407C3"/>
    <w:rsid w:val="007455F2"/>
    <w:rsid w:val="00747A0F"/>
    <w:rsid w:val="00750D1D"/>
    <w:rsid w:val="00750EB5"/>
    <w:rsid w:val="00752A9A"/>
    <w:rsid w:val="0076118D"/>
    <w:rsid w:val="007614E1"/>
    <w:rsid w:val="007618D1"/>
    <w:rsid w:val="0076283B"/>
    <w:rsid w:val="00775C5E"/>
    <w:rsid w:val="00785DD6"/>
    <w:rsid w:val="00795DAB"/>
    <w:rsid w:val="0079785E"/>
    <w:rsid w:val="007A36B4"/>
    <w:rsid w:val="007A4C4F"/>
    <w:rsid w:val="007A5DE7"/>
    <w:rsid w:val="007B2C46"/>
    <w:rsid w:val="007B3CA6"/>
    <w:rsid w:val="007B5F34"/>
    <w:rsid w:val="007B78A6"/>
    <w:rsid w:val="007C3289"/>
    <w:rsid w:val="007C61BF"/>
    <w:rsid w:val="007E2BEB"/>
    <w:rsid w:val="007E5DFE"/>
    <w:rsid w:val="007F3A33"/>
    <w:rsid w:val="007F410C"/>
    <w:rsid w:val="007F5860"/>
    <w:rsid w:val="00801BCF"/>
    <w:rsid w:val="00806F74"/>
    <w:rsid w:val="00813D06"/>
    <w:rsid w:val="0081575B"/>
    <w:rsid w:val="0081769D"/>
    <w:rsid w:val="00820D98"/>
    <w:rsid w:val="008255FD"/>
    <w:rsid w:val="0082660C"/>
    <w:rsid w:val="0083307A"/>
    <w:rsid w:val="00834ED5"/>
    <w:rsid w:val="00846550"/>
    <w:rsid w:val="00850516"/>
    <w:rsid w:val="00853225"/>
    <w:rsid w:val="008534B9"/>
    <w:rsid w:val="00860155"/>
    <w:rsid w:val="00861120"/>
    <w:rsid w:val="0086343E"/>
    <w:rsid w:val="0086683D"/>
    <w:rsid w:val="00870F3C"/>
    <w:rsid w:val="008731E1"/>
    <w:rsid w:val="00881D96"/>
    <w:rsid w:val="0088485D"/>
    <w:rsid w:val="008877B1"/>
    <w:rsid w:val="00890EC2"/>
    <w:rsid w:val="00893979"/>
    <w:rsid w:val="00897E10"/>
    <w:rsid w:val="008A20A2"/>
    <w:rsid w:val="008A2929"/>
    <w:rsid w:val="008A3BC1"/>
    <w:rsid w:val="008A5A1D"/>
    <w:rsid w:val="008B0000"/>
    <w:rsid w:val="008B213E"/>
    <w:rsid w:val="008B491A"/>
    <w:rsid w:val="008B4BEB"/>
    <w:rsid w:val="008C022C"/>
    <w:rsid w:val="008D35B2"/>
    <w:rsid w:val="008D368B"/>
    <w:rsid w:val="008E756D"/>
    <w:rsid w:val="008F1753"/>
    <w:rsid w:val="008F379B"/>
    <w:rsid w:val="008F632A"/>
    <w:rsid w:val="0090086A"/>
    <w:rsid w:val="009009EF"/>
    <w:rsid w:val="00911FEB"/>
    <w:rsid w:val="00914E16"/>
    <w:rsid w:val="009204F3"/>
    <w:rsid w:val="00921A92"/>
    <w:rsid w:val="00921DF6"/>
    <w:rsid w:val="0092255F"/>
    <w:rsid w:val="00924A01"/>
    <w:rsid w:val="0092562B"/>
    <w:rsid w:val="00925F44"/>
    <w:rsid w:val="009306BC"/>
    <w:rsid w:val="0094512F"/>
    <w:rsid w:val="00947356"/>
    <w:rsid w:val="009604BA"/>
    <w:rsid w:val="009638FB"/>
    <w:rsid w:val="009812A2"/>
    <w:rsid w:val="00981700"/>
    <w:rsid w:val="00983F7E"/>
    <w:rsid w:val="0098546D"/>
    <w:rsid w:val="0098609F"/>
    <w:rsid w:val="0098799F"/>
    <w:rsid w:val="009945BB"/>
    <w:rsid w:val="00996C0B"/>
    <w:rsid w:val="009A4C11"/>
    <w:rsid w:val="009A753A"/>
    <w:rsid w:val="009A7BED"/>
    <w:rsid w:val="009B075C"/>
    <w:rsid w:val="009B2F39"/>
    <w:rsid w:val="009B331A"/>
    <w:rsid w:val="009B367D"/>
    <w:rsid w:val="009B545C"/>
    <w:rsid w:val="009C1E9D"/>
    <w:rsid w:val="009C2BB6"/>
    <w:rsid w:val="009C3551"/>
    <w:rsid w:val="009D03F6"/>
    <w:rsid w:val="009D5F47"/>
    <w:rsid w:val="009E10F4"/>
    <w:rsid w:val="009E19B6"/>
    <w:rsid w:val="009E2159"/>
    <w:rsid w:val="009E5B6B"/>
    <w:rsid w:val="009F3421"/>
    <w:rsid w:val="009F3D04"/>
    <w:rsid w:val="00A00F99"/>
    <w:rsid w:val="00A114A0"/>
    <w:rsid w:val="00A11DA8"/>
    <w:rsid w:val="00A14546"/>
    <w:rsid w:val="00A1503E"/>
    <w:rsid w:val="00A273D5"/>
    <w:rsid w:val="00A27605"/>
    <w:rsid w:val="00A4230A"/>
    <w:rsid w:val="00A55A13"/>
    <w:rsid w:val="00A57C7F"/>
    <w:rsid w:val="00A612FC"/>
    <w:rsid w:val="00A62988"/>
    <w:rsid w:val="00A664C4"/>
    <w:rsid w:val="00A73125"/>
    <w:rsid w:val="00A73DB7"/>
    <w:rsid w:val="00A75DF3"/>
    <w:rsid w:val="00A81E9F"/>
    <w:rsid w:val="00A855C8"/>
    <w:rsid w:val="00A865A2"/>
    <w:rsid w:val="00A8699B"/>
    <w:rsid w:val="00A904CD"/>
    <w:rsid w:val="00A90E32"/>
    <w:rsid w:val="00A926E7"/>
    <w:rsid w:val="00A96898"/>
    <w:rsid w:val="00A96982"/>
    <w:rsid w:val="00AA07C1"/>
    <w:rsid w:val="00AA16DF"/>
    <w:rsid w:val="00AA280B"/>
    <w:rsid w:val="00AA6B7A"/>
    <w:rsid w:val="00AB103C"/>
    <w:rsid w:val="00AB24BE"/>
    <w:rsid w:val="00AB72CA"/>
    <w:rsid w:val="00AC6B21"/>
    <w:rsid w:val="00AD0F26"/>
    <w:rsid w:val="00AD20C6"/>
    <w:rsid w:val="00AD42E6"/>
    <w:rsid w:val="00AD5B3C"/>
    <w:rsid w:val="00AE047C"/>
    <w:rsid w:val="00AE0E60"/>
    <w:rsid w:val="00AE0EA7"/>
    <w:rsid w:val="00AE104E"/>
    <w:rsid w:val="00AE39B7"/>
    <w:rsid w:val="00AE520E"/>
    <w:rsid w:val="00AE579A"/>
    <w:rsid w:val="00AF02DB"/>
    <w:rsid w:val="00AF19D4"/>
    <w:rsid w:val="00AF1EE1"/>
    <w:rsid w:val="00AF2F48"/>
    <w:rsid w:val="00AF3A55"/>
    <w:rsid w:val="00AF3C3E"/>
    <w:rsid w:val="00AF4CF5"/>
    <w:rsid w:val="00B0596B"/>
    <w:rsid w:val="00B05F4F"/>
    <w:rsid w:val="00B10428"/>
    <w:rsid w:val="00B10449"/>
    <w:rsid w:val="00B14B13"/>
    <w:rsid w:val="00B208DD"/>
    <w:rsid w:val="00B22456"/>
    <w:rsid w:val="00B23666"/>
    <w:rsid w:val="00B24726"/>
    <w:rsid w:val="00B30A3E"/>
    <w:rsid w:val="00B33D94"/>
    <w:rsid w:val="00B41660"/>
    <w:rsid w:val="00B45F51"/>
    <w:rsid w:val="00B50852"/>
    <w:rsid w:val="00B53A16"/>
    <w:rsid w:val="00B53B5D"/>
    <w:rsid w:val="00B65009"/>
    <w:rsid w:val="00B70113"/>
    <w:rsid w:val="00B768D2"/>
    <w:rsid w:val="00B82A17"/>
    <w:rsid w:val="00B86603"/>
    <w:rsid w:val="00B86BBC"/>
    <w:rsid w:val="00B954EB"/>
    <w:rsid w:val="00BA2664"/>
    <w:rsid w:val="00BA2898"/>
    <w:rsid w:val="00BA683D"/>
    <w:rsid w:val="00BB0070"/>
    <w:rsid w:val="00BB4520"/>
    <w:rsid w:val="00BC0A8F"/>
    <w:rsid w:val="00BC1F8F"/>
    <w:rsid w:val="00BC31BC"/>
    <w:rsid w:val="00BC339C"/>
    <w:rsid w:val="00BC40BE"/>
    <w:rsid w:val="00BC7F9F"/>
    <w:rsid w:val="00BD0EEA"/>
    <w:rsid w:val="00BD7F5A"/>
    <w:rsid w:val="00BE2424"/>
    <w:rsid w:val="00BE78E3"/>
    <w:rsid w:val="00BE7AA5"/>
    <w:rsid w:val="00BE7FF3"/>
    <w:rsid w:val="00BF4910"/>
    <w:rsid w:val="00C01425"/>
    <w:rsid w:val="00C0228D"/>
    <w:rsid w:val="00C040EB"/>
    <w:rsid w:val="00C04B66"/>
    <w:rsid w:val="00C100FE"/>
    <w:rsid w:val="00C23B6F"/>
    <w:rsid w:val="00C2522B"/>
    <w:rsid w:val="00C277E6"/>
    <w:rsid w:val="00C3173A"/>
    <w:rsid w:val="00C32D0B"/>
    <w:rsid w:val="00C32E32"/>
    <w:rsid w:val="00C36352"/>
    <w:rsid w:val="00C426F4"/>
    <w:rsid w:val="00C45040"/>
    <w:rsid w:val="00C469B9"/>
    <w:rsid w:val="00C528D6"/>
    <w:rsid w:val="00C55462"/>
    <w:rsid w:val="00C5740A"/>
    <w:rsid w:val="00C5758E"/>
    <w:rsid w:val="00C62C84"/>
    <w:rsid w:val="00C6410F"/>
    <w:rsid w:val="00C75AF9"/>
    <w:rsid w:val="00C76527"/>
    <w:rsid w:val="00C7674F"/>
    <w:rsid w:val="00C82071"/>
    <w:rsid w:val="00C82803"/>
    <w:rsid w:val="00C84150"/>
    <w:rsid w:val="00C84811"/>
    <w:rsid w:val="00C85D5D"/>
    <w:rsid w:val="00C95F35"/>
    <w:rsid w:val="00C95FE7"/>
    <w:rsid w:val="00C96417"/>
    <w:rsid w:val="00C97D35"/>
    <w:rsid w:val="00CA042C"/>
    <w:rsid w:val="00CA379A"/>
    <w:rsid w:val="00CA4338"/>
    <w:rsid w:val="00CB16DB"/>
    <w:rsid w:val="00CB5F76"/>
    <w:rsid w:val="00CC1192"/>
    <w:rsid w:val="00CC43CF"/>
    <w:rsid w:val="00CC69FE"/>
    <w:rsid w:val="00CC70C8"/>
    <w:rsid w:val="00CD490F"/>
    <w:rsid w:val="00CD72D2"/>
    <w:rsid w:val="00CD7395"/>
    <w:rsid w:val="00CD7B38"/>
    <w:rsid w:val="00CE190F"/>
    <w:rsid w:val="00CE3A95"/>
    <w:rsid w:val="00CE4C40"/>
    <w:rsid w:val="00CE5835"/>
    <w:rsid w:val="00CE5A45"/>
    <w:rsid w:val="00CF233B"/>
    <w:rsid w:val="00CF3377"/>
    <w:rsid w:val="00CF5BA7"/>
    <w:rsid w:val="00D040A2"/>
    <w:rsid w:val="00D0440C"/>
    <w:rsid w:val="00D044E2"/>
    <w:rsid w:val="00D06258"/>
    <w:rsid w:val="00D10594"/>
    <w:rsid w:val="00D13F73"/>
    <w:rsid w:val="00D2292B"/>
    <w:rsid w:val="00D26926"/>
    <w:rsid w:val="00D35C1E"/>
    <w:rsid w:val="00D37EFE"/>
    <w:rsid w:val="00D45389"/>
    <w:rsid w:val="00D4738F"/>
    <w:rsid w:val="00D51169"/>
    <w:rsid w:val="00D520EF"/>
    <w:rsid w:val="00D57389"/>
    <w:rsid w:val="00D57917"/>
    <w:rsid w:val="00D66322"/>
    <w:rsid w:val="00D66B15"/>
    <w:rsid w:val="00D672F6"/>
    <w:rsid w:val="00D70576"/>
    <w:rsid w:val="00D70924"/>
    <w:rsid w:val="00D71DEE"/>
    <w:rsid w:val="00D7554E"/>
    <w:rsid w:val="00D77962"/>
    <w:rsid w:val="00D77FD3"/>
    <w:rsid w:val="00D828B2"/>
    <w:rsid w:val="00D945B0"/>
    <w:rsid w:val="00D94C29"/>
    <w:rsid w:val="00D97822"/>
    <w:rsid w:val="00DA3C90"/>
    <w:rsid w:val="00DA3CF3"/>
    <w:rsid w:val="00DA5265"/>
    <w:rsid w:val="00DB1223"/>
    <w:rsid w:val="00DB3268"/>
    <w:rsid w:val="00DB4CB5"/>
    <w:rsid w:val="00DB7DD4"/>
    <w:rsid w:val="00DC17D8"/>
    <w:rsid w:val="00DC7665"/>
    <w:rsid w:val="00DE2131"/>
    <w:rsid w:val="00DE3B5E"/>
    <w:rsid w:val="00DE4F5F"/>
    <w:rsid w:val="00E04C12"/>
    <w:rsid w:val="00E054B2"/>
    <w:rsid w:val="00E075A1"/>
    <w:rsid w:val="00E136B8"/>
    <w:rsid w:val="00E13E55"/>
    <w:rsid w:val="00E17984"/>
    <w:rsid w:val="00E27BFB"/>
    <w:rsid w:val="00E30C94"/>
    <w:rsid w:val="00E3401C"/>
    <w:rsid w:val="00E41011"/>
    <w:rsid w:val="00E4152D"/>
    <w:rsid w:val="00E41D4F"/>
    <w:rsid w:val="00E4344E"/>
    <w:rsid w:val="00E44D72"/>
    <w:rsid w:val="00E4627D"/>
    <w:rsid w:val="00E47E83"/>
    <w:rsid w:val="00E5435A"/>
    <w:rsid w:val="00E56A8F"/>
    <w:rsid w:val="00E57A16"/>
    <w:rsid w:val="00E676A8"/>
    <w:rsid w:val="00E67D6D"/>
    <w:rsid w:val="00E70A06"/>
    <w:rsid w:val="00E76757"/>
    <w:rsid w:val="00E83AAA"/>
    <w:rsid w:val="00E87D75"/>
    <w:rsid w:val="00E93E4F"/>
    <w:rsid w:val="00E955B9"/>
    <w:rsid w:val="00E95D1F"/>
    <w:rsid w:val="00EB1C10"/>
    <w:rsid w:val="00EB576D"/>
    <w:rsid w:val="00EB6021"/>
    <w:rsid w:val="00EB75C5"/>
    <w:rsid w:val="00EC1FCC"/>
    <w:rsid w:val="00EC2354"/>
    <w:rsid w:val="00EC42BA"/>
    <w:rsid w:val="00EC53BC"/>
    <w:rsid w:val="00EC6200"/>
    <w:rsid w:val="00ED00ED"/>
    <w:rsid w:val="00ED12DB"/>
    <w:rsid w:val="00ED50D9"/>
    <w:rsid w:val="00EE33F6"/>
    <w:rsid w:val="00EF275C"/>
    <w:rsid w:val="00EF2E4C"/>
    <w:rsid w:val="00EF57AA"/>
    <w:rsid w:val="00EF7B27"/>
    <w:rsid w:val="00EF7D9B"/>
    <w:rsid w:val="00F01DB3"/>
    <w:rsid w:val="00F02863"/>
    <w:rsid w:val="00F072DF"/>
    <w:rsid w:val="00F079A2"/>
    <w:rsid w:val="00F10605"/>
    <w:rsid w:val="00F122C1"/>
    <w:rsid w:val="00F13DF4"/>
    <w:rsid w:val="00F1489D"/>
    <w:rsid w:val="00F14FFA"/>
    <w:rsid w:val="00F20492"/>
    <w:rsid w:val="00F23DA3"/>
    <w:rsid w:val="00F24774"/>
    <w:rsid w:val="00F257DA"/>
    <w:rsid w:val="00F25E5E"/>
    <w:rsid w:val="00F352C6"/>
    <w:rsid w:val="00F427A3"/>
    <w:rsid w:val="00F4291F"/>
    <w:rsid w:val="00F43C0F"/>
    <w:rsid w:val="00F43DA3"/>
    <w:rsid w:val="00F53078"/>
    <w:rsid w:val="00F5324E"/>
    <w:rsid w:val="00F567CF"/>
    <w:rsid w:val="00F57A3F"/>
    <w:rsid w:val="00F624D3"/>
    <w:rsid w:val="00F62B6B"/>
    <w:rsid w:val="00F64552"/>
    <w:rsid w:val="00F66988"/>
    <w:rsid w:val="00F71BF9"/>
    <w:rsid w:val="00F73D7D"/>
    <w:rsid w:val="00F84B52"/>
    <w:rsid w:val="00F87FC4"/>
    <w:rsid w:val="00F957B8"/>
    <w:rsid w:val="00F958A2"/>
    <w:rsid w:val="00F9701A"/>
    <w:rsid w:val="00FA011D"/>
    <w:rsid w:val="00FA1E01"/>
    <w:rsid w:val="00FB228D"/>
    <w:rsid w:val="00FC244E"/>
    <w:rsid w:val="00FC3407"/>
    <w:rsid w:val="00FD016F"/>
    <w:rsid w:val="00FD18C9"/>
    <w:rsid w:val="00FD2CE5"/>
    <w:rsid w:val="00FD59DA"/>
    <w:rsid w:val="00FD6219"/>
    <w:rsid w:val="00FD659D"/>
    <w:rsid w:val="00FE234F"/>
    <w:rsid w:val="00FE6CE4"/>
    <w:rsid w:val="00FF0F70"/>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7eeaab-705f-46e8-a103-fd52646ab6a6">
      <Terms xmlns="http://schemas.microsoft.com/office/infopath/2007/PartnerControls"/>
    </lcf76f155ced4ddcb4097134ff3c332f>
    <TaxCatchAll xmlns="d2907079-08fc-40de-a530-e6cc75d41e07" xsi:nil="true"/>
    <SharedWithUsers xmlns="d2907079-08fc-40de-a530-e6cc75d41e07">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8AD9F6DA8BAA364C85ED0DCBEBACF70B" ma:contentTypeVersion="13" ma:contentTypeDescription="สร้างเอกสารใหม่" ma:contentTypeScope="" ma:versionID="6a0d956589e585bcb077a9e182b8d882">
  <xsd:schema xmlns:xsd="http://www.w3.org/2001/XMLSchema" xmlns:xs="http://www.w3.org/2001/XMLSchema" xmlns:p="http://schemas.microsoft.com/office/2006/metadata/properties" xmlns:ns2="847eeaab-705f-46e8-a103-fd52646ab6a6" xmlns:ns3="d2907079-08fc-40de-a530-e6cc75d41e07" targetNamespace="http://schemas.microsoft.com/office/2006/metadata/properties" ma:root="true" ma:fieldsID="5c0a2ca3762f70ad63f6b67b680e4ad9" ns2:_="" ns3:_="">
    <xsd:import namespace="847eeaab-705f-46e8-a103-fd52646ab6a6"/>
    <xsd:import namespace="d2907079-08fc-40de-a530-e6cc75d41e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eeaab-705f-46e8-a103-fd52646a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07079-08fc-40de-a530-e6cc75d41e07"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76aaeb4-d494-45c2-97b1-97ceb55a8fc9}" ma:internalName="TaxCatchAll" ma:showField="CatchAllData" ma:web="d2907079-08fc-40de-a530-e6cc75d41e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3.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847eeaab-705f-46e8-a103-fd52646ab6a6"/>
    <ds:schemaRef ds:uri="d2907079-08fc-40de-a530-e6cc75d41e07"/>
  </ds:schemaRefs>
</ds:datastoreItem>
</file>

<file path=customXml/itemProps4.xml><?xml version="1.0" encoding="utf-8"?>
<ds:datastoreItem xmlns:ds="http://schemas.openxmlformats.org/officeDocument/2006/customXml" ds:itemID="{8AB5D63B-F99D-4B84-B6A0-515B73744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eeaab-705f-46e8-a103-fd52646ab6a6"/>
    <ds:schemaRef ds:uri="d2907079-08fc-40de-a530-e6cc75d41e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3371</Words>
  <Characters>19221</Characters>
  <Application>Microsoft Office Word</Application>
  <DocSecurity>4</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laliphat panyapimonphat</cp:lastModifiedBy>
  <cp:revision>2</cp:revision>
  <cp:lastPrinted>2026-03-01T10:58:00Z</cp:lastPrinted>
  <dcterms:created xsi:type="dcterms:W3CDTF">2026-03-01T11:09:00Z</dcterms:created>
  <dcterms:modified xsi:type="dcterms:W3CDTF">2026-03-01T11:09:00Z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0x0101008AD9F6DA8BAA364C85ED0DCBEBACF70B</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y fmtid="{D5CDD505-2E9C-101B-9397-08002B2CF9AE}" pid="5" name="Order">
    <vt:r8>506800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