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F16AE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jc w:val="center"/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 w:val="0"/>
        </w:rPr>
      </w:pPr>
    </w:p>
    <w:p w14:paraId="71160220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jc w:val="center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</w:p>
    <w:p w14:paraId="745C7B8F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jc w:val="center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</w:p>
    <w:p w14:paraId="1AFD198F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jc w:val="center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</w:p>
    <w:p w14:paraId="3AFE409D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</w:p>
    <w:p w14:paraId="6A986CF3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</w:p>
    <w:p w14:paraId="409AA0E2">
      <w:pPr>
        <w:pStyle w:val="7"/>
        <w:tabs>
          <w:tab w:val="left" w:pos="900"/>
          <w:tab w:val="left" w:pos="1985"/>
          <w:tab w:val="center" w:pos="4752"/>
          <w:tab w:val="left" w:pos="735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3260" w:right="1531" w:hanging="992"/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  <w:lang w:val="th-TH" w:bidi="th-TH"/>
        </w:rPr>
        <w:t xml:space="preserve">บริษัท ไทย เอ็น ดี ที จำกัด </w:t>
      </w: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</w:rPr>
        <w:t>(</w:t>
      </w: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  <w:lang w:val="th-TH" w:bidi="th-TH"/>
        </w:rPr>
        <w:t>มหาชน</w:t>
      </w: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</w:rPr>
        <w:t xml:space="preserve">) </w:t>
      </w: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  <w:lang w:val="th-TH" w:bidi="th-TH"/>
        </w:rPr>
        <w:t>และบริษัทย่อย</w:t>
      </w:r>
    </w:p>
    <w:p w14:paraId="71455987">
      <w:pPr>
        <w:pStyle w:val="7"/>
        <w:tabs>
          <w:tab w:val="left" w:pos="900"/>
          <w:tab w:val="left" w:pos="1985"/>
          <w:tab w:val="center" w:pos="4752"/>
          <w:tab w:val="left" w:pos="735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261" w:right="1532" w:hanging="993"/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  <w:lang w:val="th-TH" w:bidi="th-TH"/>
        </w:rPr>
        <w:t>งบการเงินรวมและงบการเงินเฉพาะกิจการ</w:t>
      </w:r>
    </w:p>
    <w:p w14:paraId="0C889558">
      <w:pPr>
        <w:pStyle w:val="7"/>
        <w:tabs>
          <w:tab w:val="left" w:pos="900"/>
          <w:tab w:val="left" w:pos="1985"/>
          <w:tab w:val="center" w:pos="4752"/>
          <w:tab w:val="left" w:pos="735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261" w:right="1532" w:hanging="993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  <w:lang w:val="th-TH" w:bidi="th-TH"/>
        </w:rPr>
        <w:t xml:space="preserve">สำหรับปีสิ้นสุดวันที่ </w:t>
      </w: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  <w:t xml:space="preserve">31 </w:t>
      </w: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  <w:lang w:val="th-TH" w:bidi="th-TH"/>
        </w:rPr>
        <w:t xml:space="preserve">ธันวาคม </w:t>
      </w: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  <w:t>2568</w:t>
      </w:r>
    </w:p>
    <w:p w14:paraId="0F290320">
      <w:pPr>
        <w:pStyle w:val="7"/>
        <w:tabs>
          <w:tab w:val="left" w:pos="900"/>
          <w:tab w:val="left" w:pos="1985"/>
          <w:tab w:val="center" w:pos="4752"/>
          <w:tab w:val="left" w:pos="735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261" w:right="1532" w:hanging="993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eastAsia="Cordia New" w:asciiTheme="majorBidi" w:hAnsiTheme="majorBidi" w:cstheme="majorBidi"/>
          <w:b/>
          <w:bCs/>
          <w:color w:val="000000"/>
          <w:sz w:val="32"/>
          <w:szCs w:val="32"/>
          <w:cs/>
          <w:lang w:val="th-TH" w:bidi="th-TH"/>
        </w:rPr>
        <w:t>และรายงานของผู้สอบบัญชีรับอนุญาต</w:t>
      </w:r>
    </w:p>
    <w:p w14:paraId="336989BD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jc w:val="center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</w:p>
    <w:p w14:paraId="72D5EA74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jc w:val="center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</w:p>
    <w:p w14:paraId="13905955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jc w:val="right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</w:p>
    <w:p w14:paraId="420F3CAB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26BC13DE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40772714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789DAEC3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2B94FC89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2514E6D2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2F1EB6BF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1341A428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27437383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346FEE7D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0470DD02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0CB162CD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79E8A55F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141C0F78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39772E1A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5A388161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27951071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  <w:b/>
          <w:bCs/>
          <w:color w:val="000000"/>
          <w:sz w:val="32"/>
          <w:szCs w:val="32"/>
        </w:rPr>
      </w:pPr>
      <w:bookmarkStart w:id="0" w:name="_Hlk159322569"/>
    </w:p>
    <w:p w14:paraId="70878023">
      <w:pPr>
        <w:pStyle w:val="16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D7F3279">
      <w:pPr>
        <w:pStyle w:val="16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74200C70">
      <w:pPr>
        <w:pStyle w:val="16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ACA2FBF">
      <w:pPr>
        <w:pStyle w:val="16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0D411942">
      <w:pPr>
        <w:pStyle w:val="16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249032B">
      <w:pPr>
        <w:pStyle w:val="16"/>
        <w:spacing w:line="340" w:lineRule="exact"/>
        <w:rPr>
          <w:rFonts w:asciiTheme="majorBidi" w:hAnsiTheme="majorBidi" w:cstheme="majorBidi"/>
          <w:b/>
          <w:bCs/>
        </w:rPr>
      </w:pPr>
    </w:p>
    <w:p w14:paraId="61E1B9BE">
      <w:pPr>
        <w:pStyle w:val="16"/>
        <w:spacing w:line="340" w:lineRule="exact"/>
        <w:rPr>
          <w:rFonts w:asciiTheme="majorBidi" w:hAnsiTheme="majorBidi" w:cstheme="majorBidi"/>
          <w:b/>
          <w:bCs/>
        </w:rPr>
      </w:pPr>
    </w:p>
    <w:p w14:paraId="06C7BAE0">
      <w:pPr>
        <w:pStyle w:val="16"/>
        <w:spacing w:line="340" w:lineRule="exact"/>
        <w:rPr>
          <w:rFonts w:asciiTheme="majorBidi" w:hAnsiTheme="majorBidi" w:cstheme="majorBidi"/>
          <w:b/>
          <w:bCs/>
        </w:rPr>
      </w:pPr>
    </w:p>
    <w:p w14:paraId="6DB7F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Theme="majorBidi" w:hAnsiTheme="majorBidi" w:cstheme="majorBidi"/>
          <w:b/>
          <w:bCs/>
          <w:color w:val="000000"/>
          <w:sz w:val="29"/>
          <w:szCs w:val="29"/>
        </w:rPr>
      </w:pPr>
    </w:p>
    <w:p w14:paraId="05208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Theme="majorBidi" w:hAnsiTheme="majorBidi" w:cstheme="majorBidi"/>
          <w:b/>
          <w:bCs/>
          <w:color w:val="000000"/>
          <w:sz w:val="29"/>
          <w:szCs w:val="29"/>
        </w:rPr>
      </w:pPr>
    </w:p>
    <w:p w14:paraId="1E3EA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80" w:line="380" w:lineRule="exact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 w:bidi="th-TH"/>
        </w:rPr>
        <w:t>รายงาน</w:t>
      </w:r>
      <w:r>
        <w:rPr>
          <w:rFonts w:hint="cs" w:asciiTheme="majorBidi" w:hAnsiTheme="majorBidi" w:cstheme="majorBidi"/>
          <w:b/>
          <w:bCs/>
          <w:sz w:val="28"/>
          <w:szCs w:val="28"/>
          <w:cs/>
          <w:lang w:val="th-TH" w:bidi="th-TH"/>
        </w:rPr>
        <w:t>ของ</w:t>
      </w:r>
      <w:r>
        <w:rPr>
          <w:rFonts w:asciiTheme="majorBidi" w:hAnsiTheme="majorBidi" w:cstheme="majorBidi"/>
          <w:b/>
          <w:bCs/>
          <w:sz w:val="28"/>
          <w:szCs w:val="28"/>
          <w:cs/>
          <w:lang w:val="th-TH" w:bidi="th-TH"/>
        </w:rPr>
        <w:t>ผู้สอบบัญชีรับอนุญาต</w:t>
      </w:r>
    </w:p>
    <w:p w14:paraId="2636F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380" w:lineRule="exact"/>
        <w:textAlignment w:val="baseline"/>
        <w:rPr>
          <w:rFonts w:eastAsia="Calibri" w:asciiTheme="majorBidi" w:hAnsiTheme="majorBidi" w:cstheme="majorBidi"/>
          <w:spacing w:val="6"/>
          <w:sz w:val="28"/>
          <w:szCs w:val="28"/>
        </w:rPr>
      </w:pP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 xml:space="preserve">เสนอ  </w:t>
      </w:r>
      <w:r>
        <w:rPr>
          <w:rFonts w:hint="cs"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ผู้ถือหุ้น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 xml:space="preserve">ของบริษัท ไทย เอ็น ดี ที จำกัด 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</w:rPr>
        <w:t>(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มหาชน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</w:rPr>
        <w:t>)</w:t>
      </w:r>
    </w:p>
    <w:p w14:paraId="5A6C60AC">
      <w:pPr>
        <w:pStyle w:val="12"/>
        <w:spacing w:after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hint="cs" w:asciiTheme="majorBidi" w:hAnsiTheme="majorBidi" w:cstheme="majorBidi"/>
          <w:b/>
          <w:bCs/>
          <w:sz w:val="28"/>
          <w:cs/>
          <w:lang w:val="th-TH" w:bidi="th-TH"/>
        </w:rPr>
        <w:t>ความเห็น</w:t>
      </w:r>
    </w:p>
    <w:p w14:paraId="3A6C6B5F">
      <w:pPr>
        <w:pStyle w:val="12"/>
        <w:jc w:val="thaiDistribute"/>
        <w:rPr>
          <w:rFonts w:asciiTheme="majorBidi" w:hAnsiTheme="majorBidi" w:cstheme="majorBidi"/>
          <w:spacing w:val="6"/>
          <w:sz w:val="28"/>
        </w:rPr>
      </w:pP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ข้าพเจ้าได้ตรวจสอบงบการเงิน</w:t>
      </w:r>
      <w:r>
        <w:rPr>
          <w:rFonts w:hint="cs" w:asciiTheme="majorBidi" w:hAnsiTheme="majorBidi" w:cstheme="majorBidi"/>
          <w:spacing w:val="6"/>
          <w:sz w:val="28"/>
          <w:cs/>
          <w:lang w:val="th-TH" w:bidi="th-TH"/>
        </w:rPr>
        <w:t>รวมและงบการเงินเฉพาะกิจการ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 xml:space="preserve">ของบริษัท ไทย เอ็น ดี ที จำกัด </w:t>
      </w:r>
      <w:r>
        <w:rPr>
          <w:rFonts w:asciiTheme="majorBidi" w:hAnsiTheme="majorBidi" w:cstheme="majorBidi"/>
          <w:spacing w:val="6"/>
          <w:sz w:val="28"/>
          <w:cs/>
        </w:rPr>
        <w:t>(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มหาชน</w:t>
      </w:r>
      <w:r>
        <w:rPr>
          <w:rFonts w:asciiTheme="majorBidi" w:hAnsiTheme="majorBidi" w:cstheme="majorBidi"/>
          <w:spacing w:val="6"/>
          <w:sz w:val="28"/>
          <w:cs/>
        </w:rPr>
        <w:t xml:space="preserve">) 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 xml:space="preserve">และบริษัทย่อย </w:t>
      </w:r>
      <w:r>
        <w:rPr>
          <w:rFonts w:asciiTheme="majorBidi" w:hAnsiTheme="majorBidi" w:cstheme="majorBidi"/>
          <w:spacing w:val="6"/>
          <w:sz w:val="28"/>
        </w:rPr>
        <w:t>(“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กลุ่มบริษัท</w:t>
      </w:r>
      <w:r>
        <w:rPr>
          <w:rFonts w:asciiTheme="majorBidi" w:hAnsiTheme="majorBidi" w:cstheme="majorBidi"/>
          <w:spacing w:val="6"/>
          <w:sz w:val="28"/>
        </w:rPr>
        <w:t>”)</w:t>
      </w:r>
      <w:r>
        <w:rPr>
          <w:rFonts w:asciiTheme="majorBidi" w:hAnsiTheme="majorBidi" w:cstheme="majorBidi"/>
          <w:spacing w:val="6"/>
          <w:sz w:val="28"/>
          <w:cs/>
        </w:rPr>
        <w:t xml:space="preserve"> 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และ</w:t>
      </w:r>
      <w:r>
        <w:rPr>
          <w:rFonts w:hint="cs" w:asciiTheme="majorBidi" w:hAnsiTheme="majorBidi" w:cstheme="majorBidi"/>
          <w:spacing w:val="6"/>
          <w:sz w:val="28"/>
          <w:cs/>
          <w:lang w:val="th-TH" w:bidi="th-TH"/>
        </w:rPr>
        <w:t>ของ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 xml:space="preserve">เฉพาะบริษัท ไทย เอ็น ดี ที จำกัด </w:t>
      </w:r>
      <w:r>
        <w:rPr>
          <w:rFonts w:asciiTheme="majorBidi" w:hAnsiTheme="majorBidi" w:cstheme="majorBidi"/>
          <w:spacing w:val="6"/>
          <w:sz w:val="28"/>
          <w:cs/>
        </w:rPr>
        <w:t>(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มหาชน</w:t>
      </w:r>
      <w:r>
        <w:rPr>
          <w:rFonts w:asciiTheme="majorBidi" w:hAnsiTheme="majorBidi" w:cstheme="majorBidi"/>
          <w:spacing w:val="6"/>
          <w:sz w:val="28"/>
          <w:cs/>
        </w:rPr>
        <w:t>)</w:t>
      </w:r>
      <w:r>
        <w:rPr>
          <w:rFonts w:asciiTheme="majorBidi" w:hAnsiTheme="majorBidi" w:cstheme="majorBidi"/>
          <w:spacing w:val="6"/>
          <w:sz w:val="28"/>
        </w:rPr>
        <w:t xml:space="preserve"> (“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บริษัท</w:t>
      </w:r>
      <w:r>
        <w:rPr>
          <w:rFonts w:asciiTheme="majorBidi" w:hAnsiTheme="majorBidi" w:cstheme="majorBidi"/>
          <w:spacing w:val="6"/>
          <w:sz w:val="28"/>
        </w:rPr>
        <w:t>”)</w:t>
      </w:r>
      <w:r>
        <w:rPr>
          <w:rFonts w:asciiTheme="majorBidi" w:hAnsiTheme="majorBidi" w:cstheme="majorBidi"/>
          <w:spacing w:val="6"/>
          <w:sz w:val="28"/>
          <w:cs/>
        </w:rPr>
        <w:t xml:space="preserve"> 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ซึ่งประกอบด้วย งบฐานะการเงินรวมและ</w:t>
      </w:r>
      <w:r>
        <w:rPr>
          <w:rFonts w:asciiTheme="majorBidi" w:hAnsiTheme="majorBidi" w:cstheme="majorBidi"/>
          <w:spacing w:val="6"/>
          <w:sz w:val="28"/>
          <w:cs/>
        </w:rPr>
        <w:br w:type="textWrapping"/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 xml:space="preserve">งบฐานะการเงินเฉพาะกิจการ ณ วันที่ </w:t>
      </w:r>
      <w:r>
        <w:rPr>
          <w:rFonts w:asciiTheme="majorBidi" w:hAnsiTheme="majorBidi" w:cstheme="majorBidi"/>
          <w:spacing w:val="6"/>
          <w:sz w:val="28"/>
        </w:rPr>
        <w:t xml:space="preserve">31 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pacing w:val="6"/>
          <w:sz w:val="28"/>
        </w:rPr>
        <w:t xml:space="preserve">2568 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งบกำไรขาดทุนเบ็ดเสร็จรวมและงบกำไรขาดทุนเบ็ดเสร็จเฉพาะ</w:t>
      </w:r>
      <w:r>
        <w:rPr>
          <w:rFonts w:asciiTheme="majorBidi" w:hAnsiTheme="majorBidi" w:cstheme="majorBidi"/>
          <w:sz w:val="28"/>
          <w:cs/>
          <w:lang w:val="th-TH" w:bidi="th-TH"/>
        </w:rPr>
        <w:t>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รวมและงบกระแสเงินสดเฉพาะกิจการสำหรับปีสิ้นสุดวันเดียวกัน และหมายเหตุประกอบงบการเงิน รวมถึงข้อมูลนโยบาย</w:t>
      </w:r>
      <w:r>
        <w:rPr>
          <w:rFonts w:asciiTheme="majorBidi" w:hAnsiTheme="majorBidi" w:cstheme="majorBidi"/>
          <w:spacing w:val="6"/>
          <w:sz w:val="28"/>
        </w:rPr>
        <w:br w:type="textWrapping"/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การบัญชีที่</w:t>
      </w:r>
      <w:r>
        <w:rPr>
          <w:rFonts w:hint="cs" w:asciiTheme="majorBidi" w:hAnsiTheme="majorBidi" w:cstheme="majorBidi"/>
          <w:spacing w:val="6"/>
          <w:sz w:val="28"/>
          <w:cs/>
          <w:lang w:val="th-TH" w:bidi="th-TH"/>
        </w:rPr>
        <w:t>มีสาระ</w:t>
      </w:r>
      <w:r>
        <w:rPr>
          <w:rFonts w:asciiTheme="majorBidi" w:hAnsiTheme="majorBidi" w:cstheme="majorBidi"/>
          <w:spacing w:val="6"/>
          <w:sz w:val="28"/>
          <w:cs/>
          <w:lang w:val="th-TH" w:bidi="th-TH"/>
        </w:rPr>
        <w:t>สำคัญ</w:t>
      </w:r>
    </w:p>
    <w:p w14:paraId="4E19A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28"/>
        <w:jc w:val="thaiDistribute"/>
        <w:rPr>
          <w:rFonts w:eastAsia="Calibri" w:asciiTheme="majorBidi" w:hAnsiTheme="majorBidi" w:cstheme="majorBidi"/>
          <w:spacing w:val="6"/>
          <w:sz w:val="28"/>
          <w:szCs w:val="28"/>
        </w:rPr>
      </w:pP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ข้าพเจ้าเห็นว่า งบการเงินรวมและงบ</w:t>
      </w:r>
      <w:r>
        <w:rPr>
          <w:rFonts w:hint="cs"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การเงิน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เฉพาะกิจการข้างต้นนี้แสดงฐานะการเงินรวมและฐานะการเงินเฉพาะกิจการของ</w:t>
      </w:r>
      <w:r>
        <w:rPr>
          <w:rFonts w:hint="cs"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 xml:space="preserve">กลุ่มบริษัทและบริษัท 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 xml:space="preserve">ณ วันที่ </w:t>
      </w:r>
      <w:r>
        <w:rPr>
          <w:rFonts w:eastAsia="Calibri" w:asciiTheme="majorBidi" w:hAnsiTheme="majorBidi" w:cstheme="majorBidi"/>
          <w:spacing w:val="6"/>
          <w:sz w:val="28"/>
          <w:szCs w:val="28"/>
        </w:rPr>
        <w:t>31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</w:rPr>
        <w:t xml:space="preserve"> 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 xml:space="preserve">ธันวาคม </w:t>
      </w:r>
      <w:r>
        <w:rPr>
          <w:rFonts w:eastAsia="Calibri" w:asciiTheme="majorBidi" w:hAnsiTheme="majorBidi" w:cstheme="majorBidi"/>
          <w:spacing w:val="6"/>
          <w:sz w:val="28"/>
          <w:szCs w:val="28"/>
        </w:rPr>
        <w:t xml:space="preserve">2568 </w:t>
      </w:r>
      <w:r>
        <w:rPr>
          <w:rFonts w:hint="cs"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และ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 xml:space="preserve">ผลการดำเนินงานรวมและผลการดำเนินงานเฉพาะกิจการ และกระแสเงินสดรวมเ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79FAD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28"/>
        <w:jc w:val="thaiDistribute"/>
        <w:rPr>
          <w:rFonts w:eastAsia="Calibri" w:asciiTheme="majorBidi" w:hAnsiTheme="majorBidi" w:cstheme="majorBidi"/>
          <w:spacing w:val="6"/>
          <w:sz w:val="20"/>
          <w:szCs w:val="20"/>
        </w:rPr>
      </w:pPr>
    </w:p>
    <w:p w14:paraId="288393B9">
      <w:pPr>
        <w:pStyle w:val="12"/>
        <w:spacing w:after="12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  <w:lang w:val="th-TH" w:bidi="th-TH"/>
        </w:rPr>
        <w:t>เกณฑ์ในการแสดงความเห็น</w:t>
      </w:r>
    </w:p>
    <w:p w14:paraId="79C5A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eastAsia="Calibri" w:asciiTheme="majorBidi" w:hAnsiTheme="majorBidi" w:cstheme="majorBidi"/>
          <w:spacing w:val="4"/>
          <w:sz w:val="28"/>
          <w:szCs w:val="28"/>
        </w:rPr>
      </w:pP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>
        <w:rPr>
          <w:rFonts w:hint="cs"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รวมและงบการเงินเฉพาะกิจการ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ในรายงานของข้าพเจ้า ข้าพเจ้ามีความเป็นอิสระจากกลุ่มบริษัท</w:t>
      </w:r>
      <w:r>
        <w:rPr>
          <w:rFonts w:hint="cs"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และบริษัท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ตามประมวลจรรยาบรรณของผู้ประกอบวิชาชีพบัญชี รวมถึง</w:t>
      </w:r>
      <w:r>
        <w:rPr>
          <w:rFonts w:hint="cs" w:eastAsia="Calibri" w:asciiTheme="majorBidi" w:hAnsiTheme="majorBidi" w:cstheme="majorBidi"/>
          <w:spacing w:val="4"/>
          <w:sz w:val="28"/>
          <w:szCs w:val="28"/>
          <w:cs/>
        </w:rPr>
        <w:t xml:space="preserve"> 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มาตรฐานเรื่องความเป็นอิสระ</w:t>
      </w:r>
      <w:r>
        <w:rPr>
          <w:rFonts w:eastAsia="Calibri" w:asciiTheme="majorBidi" w:hAnsiTheme="majorBidi" w:cstheme="majorBidi"/>
          <w:spacing w:val="4"/>
          <w:sz w:val="28"/>
          <w:szCs w:val="28"/>
        </w:rPr>
        <w:br w:type="textWrapping"/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 xml:space="preserve">ที่กำหนดโดยสภาวิชาชีพบัญชี 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</w:rPr>
        <w:t>(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ประมวลจรรยาบรรณของผู้ประกอบวิชาชีพบัญชี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</w:rPr>
        <w:t xml:space="preserve">) 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ในส่วนที่เกี่ยวข้องกับการตรวจสอบ</w:t>
      </w:r>
      <w:r>
        <w:rPr>
          <w:rFonts w:eastAsia="Calibri" w:asciiTheme="majorBidi" w:hAnsiTheme="majorBidi" w:cstheme="majorBidi"/>
          <w:spacing w:val="4"/>
          <w:sz w:val="28"/>
          <w:szCs w:val="28"/>
        </w:rPr>
        <w:br w:type="textWrapping"/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งบการเงิน</w:t>
      </w:r>
      <w:r>
        <w:rPr>
          <w:rFonts w:hint="cs"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รวมและงบการเงินเฉพาะกิจการ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</w:rPr>
        <w:t xml:space="preserve"> 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hint="cs" w:eastAsia="Calibri" w:asciiTheme="majorBidi" w:hAnsiTheme="majorBidi" w:cstheme="majorBidi"/>
          <w:spacing w:val="4"/>
          <w:sz w:val="28"/>
          <w:szCs w:val="28"/>
          <w:cs/>
        </w:rPr>
        <w:t xml:space="preserve"> </w:t>
      </w:r>
      <w:r>
        <w:rPr>
          <w:rFonts w:eastAsia="Calibri" w:asciiTheme="majorBidi" w:hAnsiTheme="majorBidi" w:cstheme="majorBidi"/>
          <w:spacing w:val="4"/>
          <w:sz w:val="28"/>
          <w:szCs w:val="28"/>
          <w:cs/>
          <w:lang w:val="th-TH" w:bidi="th-TH"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3920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28"/>
        <w:jc w:val="thaiDistribute"/>
        <w:rPr>
          <w:rFonts w:eastAsia="Calibri" w:asciiTheme="majorBidi" w:hAnsiTheme="majorBidi" w:cstheme="majorBidi"/>
          <w:spacing w:val="6"/>
          <w:sz w:val="20"/>
          <w:szCs w:val="20"/>
        </w:rPr>
      </w:pPr>
    </w:p>
    <w:p w14:paraId="65CFEE09">
      <w:pPr>
        <w:pStyle w:val="12"/>
        <w:spacing w:after="12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  <w:lang w:val="th-TH" w:bidi="th-TH"/>
        </w:rPr>
        <w:t>เรื่องสำคัญในการตรวจสอบ</w:t>
      </w:r>
    </w:p>
    <w:p w14:paraId="74EBB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8"/>
        <w:jc w:val="thaiDistribute"/>
        <w:rPr>
          <w:rFonts w:eastAsia="Calibri" w:asciiTheme="majorBidi" w:hAnsiTheme="majorBidi" w:cstheme="majorBidi"/>
          <w:spacing w:val="6"/>
          <w:sz w:val="28"/>
          <w:szCs w:val="28"/>
        </w:rPr>
      </w:pPr>
      <w:r>
        <w:rPr>
          <w:rFonts w:eastAsia="Calibri" w:asciiTheme="majorBidi" w:hAnsiTheme="majorBidi" w:cstheme="majorBidi"/>
          <w:spacing w:val="-2"/>
          <w:sz w:val="28"/>
          <w:szCs w:val="28"/>
          <w:cs/>
          <w:lang w:val="th-TH" w:bidi="th-TH"/>
        </w:rPr>
        <w:t>เรื่องสำคัญในการตรวจสอบคือเรื่องต่าง</w:t>
      </w:r>
      <w:r>
        <w:rPr>
          <w:rFonts w:eastAsia="Calibri" w:asciiTheme="majorBidi" w:hAnsiTheme="majorBidi" w:cstheme="majorBidi"/>
          <w:spacing w:val="-2"/>
          <w:sz w:val="28"/>
          <w:szCs w:val="28"/>
        </w:rPr>
        <w:t xml:space="preserve"> </w:t>
      </w:r>
      <w:r>
        <w:rPr>
          <w:rFonts w:eastAsia="Calibri" w:asciiTheme="majorBidi" w:hAnsiTheme="majorBidi" w:cstheme="majorBidi"/>
          <w:spacing w:val="-2"/>
          <w:sz w:val="28"/>
          <w:szCs w:val="28"/>
          <w:cs/>
          <w:lang w:val="th-TH"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</w:rPr>
        <w:br w:type="textWrapping"/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งบการเงิน</w:t>
      </w:r>
      <w:r>
        <w:rPr>
          <w:rFonts w:hint="cs"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รวมและงบการเงินเฉพาะกิจการ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สำหรับ</w:t>
      </w:r>
      <w:r>
        <w:rPr>
          <w:rFonts w:hint="cs"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ปี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ปัจจุบัน ข้าพเจ้าได้นำเรื่องเหล่านี้มาพิจารณาในบริบทของ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</w:rPr>
        <w:br w:type="textWrapping"/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การตรวจสอบงบการเงินรวม</w:t>
      </w:r>
      <w:r>
        <w:rPr>
          <w:rFonts w:hint="cs"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และงบการเงินเฉพาะกิจการ</w:t>
      </w:r>
      <w:r>
        <w:rPr>
          <w:rFonts w:eastAsia="Calibri" w:asciiTheme="majorBidi" w:hAnsiTheme="majorBidi" w:cstheme="majorBidi"/>
          <w:spacing w:val="6"/>
          <w:sz w:val="28"/>
          <w:szCs w:val="28"/>
          <w:cs/>
          <w:lang w:val="th-TH" w:bidi="th-TH"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A0D2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34572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568DE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eastAsia="Calibri" w:asciiTheme="majorBidi" w:hAnsiTheme="majorBidi" w:cstheme="majorBidi"/>
          <w:spacing w:val="6"/>
          <w:sz w:val="28"/>
          <w:szCs w:val="28"/>
        </w:rPr>
        <w:sectPr>
          <w:headerReference r:id="rId5" w:type="default"/>
          <w:footerReference r:id="rId6" w:type="default"/>
          <w:pgSz w:w="11909" w:h="16834"/>
          <w:pgMar w:top="1469" w:right="906" w:bottom="284" w:left="1418" w:header="476" w:footer="567" w:gutter="0"/>
          <w:pgNumType w:start="0" w:chapStyle="1"/>
          <w:cols w:space="720" w:num="1"/>
          <w:titlePg/>
          <w:docGrid w:linePitch="245" w:charSpace="0"/>
        </w:sectPr>
      </w:pPr>
      <w:r>
        <w:rPr>
          <w:rFonts w:asciiTheme="majorBidi" w:hAnsiTheme="majorBidi" w:cstheme="majorBidi"/>
          <w:sz w:val="28"/>
          <w:szCs w:val="28"/>
        </w:rPr>
        <w:t>****/2</w:t>
      </w:r>
    </w:p>
    <w:p w14:paraId="3BB8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Theme="majorBidi" w:hAnsiTheme="majorBidi" w:cstheme="majorBidi"/>
          <w:sz w:val="28"/>
          <w:szCs w:val="28"/>
        </w:rPr>
      </w:pPr>
      <w:bookmarkStart w:id="1" w:name="_Hlk159264342"/>
      <w:r>
        <w:rPr>
          <w:rFonts w:asciiTheme="majorBidi" w:hAnsiTheme="majorBidi" w:cstheme="majorBidi"/>
          <w:sz w:val="28"/>
          <w:szCs w:val="28"/>
        </w:rPr>
        <w:t>-2-</w:t>
      </w:r>
    </w:p>
    <w:p w14:paraId="1312A097">
      <w:pPr>
        <w:pStyle w:val="12"/>
        <w:spacing w:after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hint="cs" w:asciiTheme="majorBidi" w:hAnsiTheme="majorBidi" w:cstheme="majorBidi"/>
          <w:b/>
          <w:bCs/>
          <w:sz w:val="28"/>
          <w:u w:val="single"/>
          <w:cs/>
          <w:lang w:val="th-TH" w:bidi="th-TH"/>
        </w:rPr>
        <w:t>การรับรู้รายได้จากการให้บริการ</w:t>
      </w:r>
    </w:p>
    <w:p w14:paraId="001AD61A">
      <w:pPr>
        <w:pStyle w:val="12"/>
        <w:spacing w:after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hint="cs" w:asciiTheme="majorBidi" w:hAnsiTheme="majorBidi" w:cstheme="majorBidi"/>
          <w:b/>
          <w:bCs/>
          <w:sz w:val="28"/>
          <w:u w:val="single"/>
          <w:cs/>
          <w:lang w:val="th-TH" w:bidi="th-TH"/>
        </w:rPr>
        <w:t>ความเสี่ยง</w:t>
      </w:r>
    </w:p>
    <w:p w14:paraId="7C9FEA5E">
      <w:pPr>
        <w:pStyle w:val="12"/>
        <w:jc w:val="thaiDistribute"/>
        <w:rPr>
          <w:rFonts w:asciiTheme="majorBidi" w:hAnsiTheme="majorBidi" w:cstheme="majorBidi"/>
          <w:sz w:val="28"/>
        </w:rPr>
      </w:pPr>
      <w:r>
        <w:rPr>
          <w:rFonts w:hint="cs" w:asciiTheme="majorBidi" w:hAnsiTheme="majorBidi" w:cstheme="majorBidi"/>
          <w:sz w:val="28"/>
          <w:cs/>
          <w:lang w:val="th-TH" w:bidi="th-TH"/>
        </w:rPr>
        <w:t>กลุ่มบริษัทรับรู้</w:t>
      </w:r>
      <w:bookmarkStart w:id="2" w:name="OLE_LINK5"/>
      <w:r>
        <w:rPr>
          <w:rFonts w:hint="cs" w:asciiTheme="majorBidi" w:hAnsiTheme="majorBidi" w:cstheme="majorBidi"/>
          <w:sz w:val="28"/>
          <w:cs/>
          <w:lang w:val="th-TH" w:bidi="th-TH"/>
        </w:rPr>
        <w:t>รายได้จากการให้บริการตรวจสอบหรือทดสอบชิ้นงาน</w:t>
      </w:r>
      <w:bookmarkEnd w:id="2"/>
      <w:r>
        <w:rPr>
          <w:rFonts w:hint="cs" w:asciiTheme="majorBidi" w:hAnsiTheme="majorBidi" w:cstheme="majorBidi"/>
          <w:sz w:val="28"/>
          <w:cs/>
          <w:lang w:val="th-TH" w:bidi="th-TH"/>
        </w:rPr>
        <w:t xml:space="preserve"> ณ เวลาใดเวลาหนึ่ง โดยรับรู้รายได้เมื่อได้ให้บริการเสร็จสิ้น </w:t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>ข้าพเจ้าให้ความสำคัญในการตรวจสอบเรื่องรายได้จากการให้บริการตรวจสอบหรือทดสอบชิ้นงาน เนื่องจากรายได้จาก</w:t>
      </w:r>
      <w:r>
        <w:rPr>
          <w:rFonts w:asciiTheme="majorBidi" w:hAnsiTheme="majorBidi" w:cstheme="majorBidi"/>
          <w:spacing w:val="-2"/>
          <w:sz w:val="28"/>
          <w:cs/>
        </w:rPr>
        <w:br w:type="textWrapping"/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>การให้บริการ</w:t>
      </w:r>
      <w:r>
        <w:rPr>
          <w:rFonts w:hint="cs" w:asciiTheme="majorBidi" w:hAnsiTheme="majorBidi" w:cstheme="majorBidi"/>
          <w:sz w:val="28"/>
          <w:cs/>
          <w:lang w:val="th-TH" w:bidi="th-TH"/>
        </w:rPr>
        <w:t>ดังกล่าวมีสาระสำคัญมากในงบการเงินรวม</w:t>
      </w:r>
    </w:p>
    <w:p w14:paraId="464F99C4">
      <w:pPr>
        <w:pStyle w:val="12"/>
        <w:spacing w:before="12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  <w:lang w:val="th-TH" w:bidi="th-TH"/>
        </w:rPr>
        <w:t>ทั้งนี้</w:t>
      </w:r>
      <w:r>
        <w:rPr>
          <w:rFonts w:hint="cs"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กลุ่มบริษัทได้เปิดเผยนโยบายการบัญชีและรายละเอียดเกี่ยวกับ</w:t>
      </w:r>
      <w:r>
        <w:rPr>
          <w:rFonts w:hint="cs" w:asciiTheme="majorBidi" w:hAnsiTheme="majorBidi" w:cstheme="majorBidi"/>
          <w:sz w:val="28"/>
          <w:cs/>
          <w:lang w:val="th-TH" w:bidi="th-TH"/>
        </w:rPr>
        <w:t>รายได้จากการให้บริการ และลูกหนี้การค้า</w:t>
      </w:r>
      <w:r>
        <w:rPr>
          <w:rFonts w:asciiTheme="majorBidi" w:hAnsiTheme="majorBidi" w:cstheme="majorBidi"/>
          <w:sz w:val="28"/>
          <w:cs/>
          <w:lang w:val="th-TH" w:bidi="th-TH"/>
        </w:rPr>
        <w:t xml:space="preserve">ไว้ในหมายเหตุประกอบงบการเงินข้อ </w:t>
      </w:r>
      <w:r>
        <w:rPr>
          <w:rFonts w:asciiTheme="majorBidi" w:hAnsiTheme="majorBidi" w:cstheme="majorBidi"/>
          <w:sz w:val="28"/>
        </w:rPr>
        <w:t>5.1, 5.2, 7</w:t>
      </w:r>
      <w:r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 xml:space="preserve">และข้อ </w:t>
      </w:r>
      <w:r>
        <w:rPr>
          <w:rFonts w:asciiTheme="majorBidi" w:hAnsiTheme="majorBidi" w:cstheme="majorBidi"/>
          <w:sz w:val="28"/>
        </w:rPr>
        <w:t>34</w:t>
      </w:r>
      <w:r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ตามลำดับ</w:t>
      </w:r>
      <w:r>
        <w:rPr>
          <w:rFonts w:hint="cs" w:asciiTheme="majorBidi" w:hAnsiTheme="majorBidi" w:cstheme="majorBidi"/>
          <w:sz w:val="28"/>
          <w:cs/>
        </w:rPr>
        <w:t xml:space="preserve"> </w:t>
      </w:r>
    </w:p>
    <w:p w14:paraId="5DB3E924">
      <w:pPr>
        <w:pStyle w:val="12"/>
        <w:spacing w:before="120"/>
        <w:ind w:left="153" w:hanging="142"/>
        <w:rPr>
          <w:rFonts w:ascii="Angsana New" w:hAnsi="Angsana New" w:cs="Angsana New"/>
          <w:b/>
          <w:bCs/>
          <w:sz w:val="29"/>
          <w:szCs w:val="29"/>
          <w:u w:val="single"/>
        </w:rPr>
      </w:pPr>
      <w:r>
        <w:rPr>
          <w:rFonts w:hint="cs" w:ascii="Angsana New" w:hAnsi="Angsana New" w:cs="Angsana New"/>
          <w:b/>
          <w:bCs/>
          <w:sz w:val="29"/>
          <w:szCs w:val="29"/>
          <w:u w:val="single"/>
          <w:cs/>
          <w:lang w:val="th-TH" w:bidi="th-TH"/>
        </w:rPr>
        <w:t>การตอบสนองความเสี่ยงของผู้สอบบัญชี</w:t>
      </w:r>
    </w:p>
    <w:p w14:paraId="3B6C9C42">
      <w:pPr>
        <w:pStyle w:val="12"/>
        <w:spacing w:before="120"/>
        <w:ind w:left="153" w:hanging="142"/>
        <w:rPr>
          <w:rFonts w:ascii="Angsana New" w:hAnsi="Angsana New" w:cs="Angsana New"/>
          <w:sz w:val="29"/>
          <w:szCs w:val="29"/>
        </w:rPr>
      </w:pPr>
      <w:r>
        <w:rPr>
          <w:rFonts w:hint="cs" w:ascii="Angsana New" w:hAnsi="Angsana New" w:cs="Angsana New"/>
          <w:sz w:val="29"/>
          <w:szCs w:val="29"/>
          <w:cs/>
          <w:lang w:val="th-TH" w:bidi="th-TH"/>
        </w:rPr>
        <w:t>วิธีการตรวจสอบของข้าพเจ้าต่อเรื่องดังกล่าว มีดังต่อไปนี้</w:t>
      </w:r>
    </w:p>
    <w:p w14:paraId="639EB0C8">
      <w:pPr>
        <w:pStyle w:val="12"/>
        <w:numPr>
          <w:ilvl w:val="0"/>
          <w:numId w:val="1"/>
        </w:numPr>
        <w:spacing w:before="120"/>
        <w:ind w:left="278" w:hanging="278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val="th-TH" w:bidi="th-TH"/>
        </w:rPr>
        <w:t>ข้าพเจ้าทำความเข้าใจขั้นตอนและวิธี</w:t>
      </w:r>
      <w:r>
        <w:rPr>
          <w:rFonts w:hint="cs" w:asciiTheme="majorBidi" w:hAnsiTheme="majorBidi" w:cstheme="majorBidi"/>
          <w:sz w:val="28"/>
          <w:cs/>
          <w:lang w:val="th-TH" w:bidi="th-TH"/>
        </w:rPr>
        <w:t>การ</w:t>
      </w:r>
      <w:r>
        <w:rPr>
          <w:rFonts w:asciiTheme="majorBidi" w:hAnsiTheme="majorBidi" w:cstheme="majorBidi"/>
          <w:sz w:val="28"/>
          <w:cs/>
          <w:lang w:val="th-TH" w:bidi="th-TH"/>
        </w:rPr>
        <w:t>ทางบัญชี รวมถึงระบบ</w:t>
      </w:r>
      <w:r>
        <w:rPr>
          <w:rFonts w:hint="cs" w:asciiTheme="majorBidi" w:hAnsiTheme="majorBidi" w:cstheme="majorBidi"/>
          <w:sz w:val="28"/>
          <w:cs/>
          <w:lang w:val="th-TH" w:bidi="th-TH"/>
        </w:rPr>
        <w:t>การ</w:t>
      </w:r>
      <w:r>
        <w:rPr>
          <w:rFonts w:asciiTheme="majorBidi" w:hAnsiTheme="majorBidi" w:cstheme="majorBidi"/>
          <w:sz w:val="28"/>
          <w:cs/>
          <w:lang w:val="th-TH" w:bidi="th-TH"/>
        </w:rPr>
        <w:t>ควบคุมภายในที่เกี่ยวข้องกับการบันทึกรายได้</w:t>
      </w:r>
      <w:r>
        <w:rPr>
          <w:rFonts w:hint="cs" w:asciiTheme="majorBidi" w:hAnsiTheme="majorBidi" w:cstheme="majorBidi"/>
          <w:sz w:val="28"/>
          <w:cs/>
          <w:lang w:val="th-TH" w:bidi="th-TH"/>
        </w:rPr>
        <w:t>จาก</w:t>
      </w:r>
      <w:r>
        <w:rPr>
          <w:rFonts w:asciiTheme="majorBidi" w:hAnsiTheme="majorBidi" w:cstheme="majorBidi"/>
          <w:sz w:val="28"/>
          <w:cs/>
        </w:rPr>
        <w:br w:type="textWrapping"/>
      </w:r>
      <w:r>
        <w:rPr>
          <w:rFonts w:hint="cs" w:asciiTheme="majorBidi" w:hAnsiTheme="majorBidi" w:cstheme="majorBidi"/>
          <w:sz w:val="28"/>
          <w:cs/>
          <w:lang w:val="th-TH" w:bidi="th-TH"/>
        </w:rPr>
        <w:t>การให้บริการ</w:t>
      </w:r>
      <w:r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นอกจากนี้ ข้าพเจ้าได้ทดสอบการควบคุมภายในที่สำคัญของวงจรรายได้และลูกหนี้</w:t>
      </w:r>
      <w:r>
        <w:rPr>
          <w:rFonts w:hint="cs" w:asciiTheme="majorBidi" w:hAnsiTheme="majorBidi" w:cstheme="majorBidi"/>
          <w:sz w:val="28"/>
          <w:cs/>
          <w:lang w:val="th-TH" w:bidi="th-TH"/>
        </w:rPr>
        <w:t>การค้า</w:t>
      </w:r>
    </w:p>
    <w:p w14:paraId="59F0CE7C">
      <w:pPr>
        <w:pStyle w:val="12"/>
        <w:numPr>
          <w:ilvl w:val="0"/>
          <w:numId w:val="1"/>
        </w:numPr>
        <w:spacing w:before="120"/>
        <w:ind w:left="278" w:hanging="278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val="th-TH" w:bidi="th-TH"/>
        </w:rPr>
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</w:t>
      </w:r>
      <w:r>
        <w:rPr>
          <w:rFonts w:hint="cs"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การปันส่วนราคาของรายการให้กับภาระที่ต้องปฏิบัติที่รวมอยู่</w:t>
      </w:r>
      <w:r>
        <w:rPr>
          <w:rFonts w:asciiTheme="majorBidi" w:hAnsiTheme="majorBidi" w:cstheme="majorBidi"/>
          <w:sz w:val="28"/>
          <w:cs/>
        </w:rPr>
        <w:br w:type="textWrapping"/>
      </w:r>
      <w:r>
        <w:rPr>
          <w:rFonts w:asciiTheme="majorBidi" w:hAnsiTheme="majorBidi" w:cstheme="majorBidi"/>
          <w:sz w:val="28"/>
          <w:cs/>
          <w:lang w:val="th-TH" w:bidi="th-TH"/>
        </w:rPr>
        <w:t>ในสัญญา</w:t>
      </w:r>
      <w:r>
        <w:rPr>
          <w:rFonts w:hint="cs"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รวมถึงการอ่านและทำความเข้าใจเอกสารและรายงานต่าง</w:t>
      </w:r>
      <w:r>
        <w:rPr>
          <w:rFonts w:hint="cs"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ๆ ที่เกี่ยวข้องกับการส่งมอบงานของบริษัทและการตรวจรับงานที่ส่งมอบโดยลูกค้าของบริษัท</w:t>
      </w:r>
    </w:p>
    <w:p w14:paraId="062E3F1F">
      <w:pPr>
        <w:pStyle w:val="12"/>
        <w:numPr>
          <w:ilvl w:val="0"/>
          <w:numId w:val="1"/>
        </w:numPr>
        <w:spacing w:before="120"/>
        <w:ind w:left="278" w:hanging="278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val="th-TH" w:bidi="th-TH"/>
        </w:rPr>
        <w:t>การพิจารณารายละเอียดของงานบริการที่ทำและยังคงค้างอยู่ ณ วันสิ้นปี</w:t>
      </w:r>
      <w:r>
        <w:rPr>
          <w:rFonts w:hint="cs"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โดยนำมาวิเคราะห์เปรียบเทียบกับเอกสารและรายงานการปฏิบัติงานและส่งมอบงานที่เกี่ยวข้องรวมถึงการวิเคราะห์อัตรากำไรขั้นต้น</w:t>
      </w:r>
    </w:p>
    <w:p w14:paraId="37383418">
      <w:pPr>
        <w:pStyle w:val="12"/>
        <w:numPr>
          <w:ilvl w:val="0"/>
          <w:numId w:val="1"/>
        </w:numPr>
        <w:spacing w:before="120"/>
        <w:ind w:left="278" w:hanging="278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val="th-TH" w:bidi="th-TH"/>
        </w:rPr>
        <w:t>การตรวจตัดยอดรายได้จากการให้บริการก่อนและหลังวันที่ในงบการเงิน</w:t>
      </w:r>
      <w:r>
        <w:rPr>
          <w:rFonts w:hint="cs"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โดยเปรียบเทียบงวดบัญชีที่บริษัทบันทึกรับรู้รายได้จากการให้บริการกับข้อมูลตามเอกสารการส่งมอบงานของบริษัทและการลงนามตอบรับงานที่ส่งมอบโดยลูกค้า</w:t>
      </w:r>
    </w:p>
    <w:p w14:paraId="02336087">
      <w:pPr>
        <w:pStyle w:val="12"/>
        <w:numPr>
          <w:ilvl w:val="0"/>
          <w:numId w:val="1"/>
        </w:numPr>
        <w:spacing w:before="120"/>
        <w:ind w:left="278" w:hanging="278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val="th-TH" w:bidi="th-TH"/>
        </w:rPr>
        <w:t>การส่งหนังสือยืนยันยอดลูกหนี้การค้าคงค้าง ณ วันสิ้นปี</w:t>
      </w:r>
      <w:r>
        <w:rPr>
          <w:rFonts w:hint="cs" w:asciiTheme="majorBidi" w:hAnsiTheme="majorBidi" w:cstheme="majorBidi"/>
          <w:sz w:val="28"/>
          <w:cs/>
        </w:rPr>
        <w:t xml:space="preserve"> </w:t>
      </w:r>
      <w:r>
        <w:rPr>
          <w:rFonts w:hint="cs" w:asciiTheme="majorBidi" w:hAnsiTheme="majorBidi" w:cstheme="majorBidi"/>
          <w:sz w:val="28"/>
          <w:cs/>
          <w:lang w:val="th-TH" w:bidi="th-TH"/>
        </w:rPr>
        <w:t xml:space="preserve">และยืนยันยอดรายได้ สำหรับปีสิ้นสุดวันที่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hint="cs" w:asciiTheme="majorBidi" w:hAnsiTheme="majorBidi" w:cstheme="majorBidi"/>
          <w:sz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2568</w:t>
      </w:r>
    </w:p>
    <w:p w14:paraId="569DD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ข้าพเจ้าพบว่า หลักเกณฑ์และวิธีการรับรู้</w:t>
      </w:r>
      <w:r>
        <w:rPr>
          <w:rFonts w:hint="cs" w:asciiTheme="majorBidi" w:hAnsiTheme="majorBidi" w:cstheme="majorBidi"/>
          <w:sz w:val="28"/>
          <w:szCs w:val="28"/>
          <w:cs/>
          <w:lang w:val="th-TH" w:bidi="th-TH"/>
        </w:rPr>
        <w:t>รายได้จากการให้บริการตรวจสอบหรือทดสอบชิ้นงาน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มีความสมเหตุสมผลและเหมาะสมตามเอกสารหลักฐานสนับสนุน</w:t>
      </w:r>
    </w:p>
    <w:p w14:paraId="28044A40">
      <w:pPr>
        <w:pStyle w:val="12"/>
        <w:spacing w:before="180" w:after="12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  <w:lang w:val="th-TH" w:bidi="th-TH"/>
        </w:rPr>
        <w:t>ข้อมูลและเหตุการณ์ที่เน้น</w:t>
      </w:r>
    </w:p>
    <w:p w14:paraId="47A14D78">
      <w:pPr>
        <w:pStyle w:val="12"/>
        <w:spacing w:after="1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  <w:lang w:val="th-TH" w:bidi="th-TH"/>
        </w:rPr>
        <w:t>ข้าพเจ้าขอให้สังเกตหมายเหตุประกอบงบการเงิน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ดังต่อไปนี้</w:t>
      </w:r>
    </w:p>
    <w:p w14:paraId="18CC0501">
      <w:pPr>
        <w:pStyle w:val="14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hint="cs" w:asciiTheme="majorBidi" w:hAnsiTheme="majorBidi" w:cstheme="majorBidi"/>
          <w:spacing w:val="-4"/>
          <w:sz w:val="28"/>
          <w:szCs w:val="28"/>
          <w:cs/>
          <w:lang w:val="th-TH" w:bidi="th-TH"/>
        </w:rPr>
        <w:t>ตามที่กล่าวไว้ใน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หมายเหตุประกอบงบการเงิน ข้อ</w:t>
      </w:r>
      <w:r>
        <w:rPr>
          <w:rFonts w:hint="cs"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>1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กลุ่มบริษัทมีผลขาดทุนสะสมในงบการเงินรวม</w:t>
      </w:r>
      <w:r>
        <w:rPr>
          <w:rFonts w:hint="cs" w:asciiTheme="majorBidi" w:hAnsiTheme="majorBidi" w:cstheme="majorBidi"/>
          <w:spacing w:val="-4"/>
          <w:sz w:val="28"/>
          <w:szCs w:val="28"/>
          <w:cs/>
          <w:lang w:val="th-TH" w:bidi="th-TH"/>
        </w:rPr>
        <w:t>สำหรับปี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สิ้นสุดวันที่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br w:type="textWrapping"/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2568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จำนวน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711.51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ล้านบาท 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>(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งบการเงินฉพาะกิจการ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: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จำนวน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671.02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ล้านบาท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ส่วนของผู้ถือหุ้น</w:t>
      </w:r>
      <w:r>
        <w:rPr>
          <w:rFonts w:hint="cs" w:asciiTheme="majorBidi" w:hAnsiTheme="majorBidi" w:cstheme="majorBidi"/>
          <w:spacing w:val="-4"/>
          <w:sz w:val="28"/>
          <w:szCs w:val="28"/>
          <w:cs/>
          <w:lang w:val="th-TH" w:bidi="th-TH"/>
        </w:rPr>
        <w:t>ในงบการเงินรวม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เท่ากับร้อยละ </w:t>
      </w:r>
      <w:r>
        <w:rPr>
          <w:rFonts w:asciiTheme="majorBidi" w:hAnsiTheme="majorBidi" w:cstheme="majorBidi"/>
          <w:sz w:val="28"/>
          <w:szCs w:val="28"/>
        </w:rPr>
        <w:t>14 (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งบการเงินฉพาะกิจการ </w:t>
      </w:r>
      <w:r>
        <w:rPr>
          <w:rFonts w:asciiTheme="majorBidi" w:hAnsiTheme="majorBidi" w:cstheme="majorBidi"/>
          <w:sz w:val="28"/>
          <w:szCs w:val="28"/>
          <w:cs/>
        </w:rPr>
        <w:t xml:space="preserve">: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ร้อยละ </w:t>
      </w:r>
      <w:r>
        <w:rPr>
          <w:rFonts w:asciiTheme="majorBidi" w:hAnsiTheme="majorBidi" w:cstheme="majorBidi"/>
          <w:sz w:val="28"/>
          <w:szCs w:val="28"/>
        </w:rPr>
        <w:t xml:space="preserve">21)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ของทุนรับชำระแล้วที่หักส่วนต่ำกว่ามูลค่าหุ้น ซึ่งเป็นอัตราส่วนทางการเงินที่ส่วนของผู้ถือหุ้นมีค่าน้อยกว่าร้อยละ </w:t>
      </w:r>
      <w:r>
        <w:rPr>
          <w:rFonts w:asciiTheme="majorBidi" w:hAnsiTheme="majorBidi" w:cstheme="majorBidi"/>
          <w:sz w:val="28"/>
          <w:szCs w:val="28"/>
        </w:rPr>
        <w:t xml:space="preserve">50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ของทุนรับชำระแล้วที่หักส่วนต่ำกว่ามูลค่าหุ้น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>
        <w:rPr>
          <w:rFonts w:asciiTheme="majorBidi" w:hAnsiTheme="majorBidi" w:cstheme="majorBidi"/>
          <w:sz w:val="28"/>
          <w:szCs w:val="28"/>
        </w:rPr>
        <w:t xml:space="preserve">CB (Caution Business)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บนหลักทรัพย์จดทะเบียนของบริษัท</w:t>
      </w:r>
    </w:p>
    <w:p w14:paraId="149DF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3FCE8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****/3</w:t>
      </w:r>
    </w:p>
    <w:bookmarkEnd w:id="1"/>
    <w:p w14:paraId="5D9E0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  <w:sectPr>
          <w:headerReference r:id="rId7" w:type="first"/>
          <w:pgSz w:w="11909" w:h="16834"/>
          <w:pgMar w:top="1469" w:right="906" w:bottom="284" w:left="1418" w:header="476" w:footer="567" w:gutter="0"/>
          <w:pgNumType w:start="0" w:chapStyle="1"/>
          <w:cols w:space="720" w:num="1"/>
          <w:titlePg/>
          <w:docGrid w:linePitch="245" w:charSpace="0"/>
        </w:sectPr>
      </w:pPr>
    </w:p>
    <w:p w14:paraId="4A2C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-3-</w:t>
      </w:r>
    </w:p>
    <w:p w14:paraId="427F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Theme="majorBidi" w:hAnsiTheme="majorBidi" w:cstheme="majorBidi"/>
          <w:sz w:val="2"/>
          <w:szCs w:val="2"/>
        </w:rPr>
      </w:pPr>
    </w:p>
    <w:p w14:paraId="6CE2BDE4">
      <w:pPr>
        <w:pStyle w:val="14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line="37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>ตามที่กล่าวไว้ใน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หมายเหตุประกอบงบการเงิน ข้อ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 8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เงินมัดจำค่าสินค้า </w:t>
      </w:r>
      <w:r>
        <w:rPr>
          <w:rFonts w:hint="cs" w:asciiTheme="majorBidi" w:hAnsiTheme="majorBidi" w:cstheme="majorBidi"/>
          <w:spacing w:val="-2"/>
          <w:sz w:val="28"/>
          <w:szCs w:val="28"/>
          <w:cs/>
        </w:rPr>
        <w:t>-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กิจการที่เกี่ยวข้องกัน</w:t>
      </w:r>
      <w:r>
        <w:rPr>
          <w:rFonts w:hint="cs"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ณ 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2568 </w:t>
      </w: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และ </w:t>
      </w:r>
      <w:r>
        <w:rPr>
          <w:rFonts w:asciiTheme="majorBidi" w:hAnsiTheme="majorBidi" w:cstheme="majorBidi"/>
          <w:spacing w:val="-2"/>
          <w:sz w:val="28"/>
          <w:szCs w:val="28"/>
        </w:rPr>
        <w:t>2567</w:t>
      </w:r>
      <w:r>
        <w:rPr>
          <w:rFonts w:hint="cs"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จำนวน </w:t>
      </w:r>
      <w:r>
        <w:rPr>
          <w:rFonts w:asciiTheme="majorBidi" w:hAnsiTheme="majorBidi" w:cstheme="majorBidi"/>
          <w:spacing w:val="-2"/>
          <w:sz w:val="28"/>
          <w:szCs w:val="28"/>
        </w:rPr>
        <w:t>6.21</w:t>
      </w:r>
      <w:r>
        <w:rPr>
          <w:rFonts w:hint="cs"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hint="cs" w:asciiTheme="majorBidi" w:hAnsiTheme="majorBidi" w:cstheme="majorBidi"/>
          <w:sz w:val="28"/>
          <w:szCs w:val="28"/>
          <w:cs/>
          <w:lang w:val="th-TH" w:bidi="th-TH"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 xml:space="preserve">66.40 </w:t>
      </w:r>
      <w:r>
        <w:rPr>
          <w:rFonts w:hint="cs" w:asciiTheme="majorBidi" w:hAnsiTheme="majorBidi" w:cstheme="majorBidi"/>
          <w:sz w:val="28"/>
          <w:szCs w:val="28"/>
          <w:cs/>
          <w:lang w:val="th-TH" w:bidi="th-TH"/>
        </w:rPr>
        <w:t xml:space="preserve">ล้านบาท ตามลำดับ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บริษัทย่อยได้จ่ายเงินมัดจำค่าสินค้าให้แก่กิจการที่เกี่ยวข้องกัน</w:t>
      </w:r>
      <w:r>
        <w:rPr>
          <w:rFonts w:asciiTheme="majorBidi" w:hAnsiTheme="majorBidi" w:cstheme="majorBidi"/>
          <w:sz w:val="28"/>
          <w:szCs w:val="28"/>
          <w:cs/>
        </w:rPr>
        <w:br w:type="textWrapping"/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ซึ่งเป็นผู้ถือหุ้นบริษัทย่อยสัดส่วนร้อยละ </w:t>
      </w:r>
      <w:r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โดยมีเงื่อนไขการตัดเงินมัดจำดังกล่าวร้อยละ </w:t>
      </w:r>
      <w:r>
        <w:rPr>
          <w:rFonts w:asciiTheme="majorBidi" w:hAnsiTheme="majorBidi" w:cstheme="majorBidi"/>
          <w:sz w:val="28"/>
          <w:szCs w:val="28"/>
        </w:rPr>
        <w:t>50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ของมูลค่าสินค้าที่ส่งมอบ</w:t>
      </w:r>
      <w:r>
        <w:rPr>
          <w:rFonts w:asciiTheme="majorBidi" w:hAnsiTheme="majorBidi" w:cstheme="majorBidi"/>
          <w:sz w:val="28"/>
          <w:szCs w:val="28"/>
          <w:cs/>
        </w:rPr>
        <w:br w:type="textWrapping"/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ในแต่ละรอบให้กับบริษัทย่อย และส่วนที่เหลืออีกร้อยละ </w:t>
      </w:r>
      <w:r>
        <w:rPr>
          <w:rFonts w:asciiTheme="majorBidi" w:hAnsiTheme="majorBidi" w:cstheme="majorBidi"/>
          <w:sz w:val="28"/>
          <w:szCs w:val="28"/>
        </w:rPr>
        <w:t>50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บริษัทย่อยต้องจ่ายชำระให้กับกิจการที่เกี่ยวข้องกัน</w:t>
      </w:r>
    </w:p>
    <w:p w14:paraId="12D5C606">
      <w:pPr>
        <w:pStyle w:val="14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line="370" w:lineRule="exact"/>
        <w:ind w:left="28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ตามที่</w:t>
      </w:r>
      <w:r>
        <w:rPr>
          <w:rFonts w:asciiTheme="majorBidi" w:hAnsiTheme="majorBidi"/>
          <w:sz w:val="28"/>
          <w:szCs w:val="28"/>
          <w:cs/>
          <w:lang w:val="th-TH" w:bidi="th-TH"/>
        </w:rPr>
        <w:t xml:space="preserve">กล่าวไว้ในหมายเหตุประกอบงบการเงิน ข้อ </w:t>
      </w:r>
      <w:r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cs/>
          <w:lang w:val="th-TH" w:bidi="th-TH"/>
        </w:rPr>
        <w:t>กลุ่มบริษัทได้แก้ไขข้อผิดพลาด</w:t>
      </w:r>
      <w:r>
        <w:rPr>
          <w:rFonts w:hint="cs" w:asciiTheme="majorBidi" w:hAnsiTheme="majorBidi"/>
          <w:sz w:val="28"/>
          <w:szCs w:val="28"/>
          <w:cs/>
          <w:lang w:val="th-TH" w:bidi="th-TH"/>
        </w:rPr>
        <w:t>ทางบัญชี</w:t>
      </w:r>
      <w:r>
        <w:rPr>
          <w:rFonts w:asciiTheme="majorBidi" w:hAnsiTheme="majorBidi"/>
          <w:sz w:val="28"/>
          <w:szCs w:val="28"/>
          <w:cs/>
          <w:lang w:val="th-TH" w:bidi="th-TH"/>
        </w:rPr>
        <w:t>ในงบ</w:t>
      </w:r>
      <w:r>
        <w:rPr>
          <w:rFonts w:hint="cs" w:asciiTheme="majorBidi" w:hAnsiTheme="majorBidi"/>
          <w:sz w:val="28"/>
          <w:szCs w:val="28"/>
          <w:cs/>
          <w:lang w:val="th-TH" w:bidi="th-TH"/>
        </w:rPr>
        <w:t>ฐานะ</w:t>
      </w:r>
      <w:r>
        <w:rPr>
          <w:rFonts w:asciiTheme="majorBidi" w:hAnsiTheme="majorBidi"/>
          <w:sz w:val="28"/>
          <w:szCs w:val="28"/>
          <w:cs/>
          <w:lang w:val="th-TH" w:bidi="th-TH"/>
        </w:rPr>
        <w:t>การเงินรวมและ</w:t>
      </w:r>
      <w:r>
        <w:rPr>
          <w:rFonts w:asciiTheme="majorBidi" w:hAnsiTheme="majorBidi"/>
          <w:sz w:val="28"/>
          <w:szCs w:val="28"/>
        </w:rPr>
        <w:br w:type="textWrapping"/>
      </w:r>
      <w:r>
        <w:rPr>
          <w:rFonts w:asciiTheme="majorBidi" w:hAnsiTheme="majorBidi"/>
          <w:sz w:val="28"/>
          <w:szCs w:val="28"/>
          <w:cs/>
          <w:lang w:val="th-TH" w:bidi="th-TH"/>
        </w:rPr>
        <w:t>งบ</w:t>
      </w:r>
      <w:r>
        <w:rPr>
          <w:rFonts w:hint="cs" w:asciiTheme="majorBidi" w:hAnsiTheme="majorBidi"/>
          <w:sz w:val="28"/>
          <w:szCs w:val="28"/>
          <w:cs/>
          <w:lang w:val="th-TH" w:bidi="th-TH"/>
        </w:rPr>
        <w:t>ฐานะ</w:t>
      </w:r>
      <w:r>
        <w:rPr>
          <w:rFonts w:asciiTheme="majorBidi" w:hAnsiTheme="majorBidi"/>
          <w:sz w:val="28"/>
          <w:szCs w:val="28"/>
          <w:cs/>
          <w:lang w:val="th-TH" w:bidi="th-TH"/>
        </w:rPr>
        <w:t xml:space="preserve">การเงินเฉพาะกิจการ ณ วันที่ </w:t>
      </w:r>
      <w:r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cs/>
          <w:lang w:val="th-TH" w:bidi="th-TH"/>
        </w:rPr>
        <w:t xml:space="preserve">ธันวาคม </w:t>
      </w:r>
      <w:r>
        <w:rPr>
          <w:rFonts w:asciiTheme="majorBidi" w:hAnsiTheme="majorBidi"/>
          <w:sz w:val="28"/>
          <w:szCs w:val="28"/>
        </w:rPr>
        <w:t>2567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cs/>
          <w:lang w:val="th-TH" w:bidi="th-TH"/>
        </w:rPr>
        <w:t xml:space="preserve">และงบกำไรขาดทุนเบ็ดเสร็จรวมและงบกำไรขาดทุนเบ็ดเสร็จเฉพาะกิจการสำหรับปีสิ้นสุดวันเดียวกัน ที่แสดงเป็นข้อมูลเปรียบเทียบ โดยเป็นการแก้ไขข้อผิดพลาดเกี่ยวกับการบันทึกค่าตอบแทนกรรมการค้างจ่าย </w:t>
      </w:r>
    </w:p>
    <w:p w14:paraId="59386011">
      <w:pPr>
        <w:pStyle w:val="14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line="370" w:lineRule="exact"/>
        <w:ind w:left="284" w:hanging="284"/>
        <w:jc w:val="thaiDistribute"/>
        <w:textAlignment w:val="baseline"/>
        <w:rPr>
          <w:rFonts w:eastAsia="Calibri" w:asciiTheme="majorBidi" w:hAnsiTheme="majorBidi" w:cstheme="majorBidi"/>
          <w:spacing w:val="2"/>
          <w:sz w:val="28"/>
          <w:szCs w:val="28"/>
        </w:rPr>
      </w:pP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>ตามที่กล่าวไว้ใน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หมายเหตุประกอบงบการเงิน ข้อ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14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เงินลงทุนในบริษัทร่วม</w:t>
      </w:r>
      <w:r>
        <w:rPr>
          <w:rFonts w:hint="cs"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ณ 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pacing w:val="-2"/>
          <w:sz w:val="28"/>
          <w:szCs w:val="28"/>
        </w:rPr>
        <w:t>25</w:t>
      </w:r>
      <w:r>
        <w:rPr>
          <w:rFonts w:hint="default" w:asciiTheme="majorBidi" w:hAnsiTheme="majorBidi" w:cstheme="majorBidi"/>
          <w:spacing w:val="-2"/>
          <w:sz w:val="28"/>
          <w:szCs w:val="28"/>
          <w:lang w:val="en-US"/>
        </w:rPr>
        <w:t>6</w:t>
      </w:r>
      <w:bookmarkStart w:id="4" w:name="_GoBack"/>
      <w:bookmarkEnd w:id="4"/>
      <w:r>
        <w:rPr>
          <w:rFonts w:asciiTheme="majorBidi" w:hAnsiTheme="majorBidi" w:cstheme="majorBidi"/>
          <w:spacing w:val="-2"/>
          <w:sz w:val="28"/>
          <w:szCs w:val="28"/>
        </w:rPr>
        <w:t xml:space="preserve">8 </w:t>
      </w: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จำนวน </w:t>
      </w:r>
      <w:r>
        <w:rPr>
          <w:rFonts w:asciiTheme="majorBidi" w:hAnsiTheme="majorBidi" w:cstheme="majorBidi"/>
          <w:spacing w:val="-2"/>
          <w:sz w:val="28"/>
          <w:szCs w:val="28"/>
        </w:rPr>
        <w:t>35.00</w:t>
      </w:r>
      <w:r>
        <w:rPr>
          <w:rFonts w:hint="cs"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hint="cs" w:asciiTheme="majorBidi" w:hAnsiTheme="majorBidi" w:cstheme="majorBidi"/>
          <w:spacing w:val="-2"/>
          <w:sz w:val="28"/>
          <w:szCs w:val="28"/>
          <w:cs/>
          <w:lang w:val="th-TH" w:bidi="th-TH"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งบการเงินฉพาะกิจการ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จำนวน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30.00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ล้านบาท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>25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pacing w:val="-2"/>
          <w:sz w:val="28"/>
          <w:szCs w:val="28"/>
        </w:rPr>
        <w:t>2567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บริษัทได้เข้าซื้อหุ้นสามัญเพิ่มทุนของบริษัท ไฮคิก จำกัด จำนวน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183,700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หุ้น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ราคาหุ้นละ </w:t>
      </w:r>
      <w:r>
        <w:rPr>
          <w:rFonts w:asciiTheme="majorBidi" w:hAnsiTheme="majorBidi" w:cstheme="majorBidi"/>
          <w:sz w:val="28"/>
          <w:szCs w:val="28"/>
        </w:rPr>
        <w:t xml:space="preserve">381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บาท เป็นจำนวน </w:t>
      </w:r>
      <w:r>
        <w:rPr>
          <w:rFonts w:asciiTheme="majorBidi" w:hAnsiTheme="majorBidi" w:cstheme="majorBidi"/>
          <w:sz w:val="28"/>
          <w:szCs w:val="28"/>
        </w:rPr>
        <w:t xml:space="preserve">69.99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มูลค่าที่ตราไว้หุ้นละ </w:t>
      </w:r>
      <w:r>
        <w:rPr>
          <w:rFonts w:asciiTheme="majorBidi" w:hAnsiTheme="majorBidi" w:cstheme="majorBidi"/>
          <w:sz w:val="28"/>
          <w:szCs w:val="28"/>
        </w:rPr>
        <w:t>100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บาท</w:t>
      </w:r>
      <w:r>
        <w:rPr>
          <w:rFonts w:asciiTheme="majorBidi" w:hAnsiTheme="majorBidi" w:cstheme="majorBidi"/>
          <w:sz w:val="28"/>
          <w:szCs w:val="28"/>
          <w:cs/>
        </w:rPr>
        <w:t xml:space="preserve">)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โดยบริษัทดังกล่าวมีมูลค่าส่วนได้เสีย ณ วันซื้อ </w:t>
      </w:r>
      <w:r>
        <w:rPr>
          <w:rFonts w:asciiTheme="majorBidi" w:hAnsiTheme="majorBidi" w:cstheme="majorBidi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งบการเงินปี </w:t>
      </w:r>
      <w:r>
        <w:rPr>
          <w:rFonts w:asciiTheme="majorBidi" w:hAnsiTheme="majorBidi" w:cstheme="majorBidi"/>
          <w:sz w:val="28"/>
          <w:szCs w:val="28"/>
        </w:rPr>
        <w:t xml:space="preserve">2566)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</w:rPr>
        <w:t xml:space="preserve">0.96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ล้านบาท คิดเป็น </w:t>
      </w:r>
      <w:r>
        <w:rPr>
          <w:rFonts w:asciiTheme="majorBidi" w:hAnsiTheme="majorBidi" w:cstheme="majorBidi"/>
          <w:sz w:val="28"/>
          <w:szCs w:val="28"/>
        </w:rPr>
        <w:t xml:space="preserve">2.24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บาทต่อหุ้น ทั้งนี้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 โดยราคาหุ้นดังกล่าวได้ถูกตีราคา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โดยผู้ประเมินราคาภายนอก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โดยวิธีมูลค่าหุ้นตามบัญชี 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>(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Book Value Approach)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และวิธีปรับปรุงมูลค่าหุ้นตาม</w:t>
      </w:r>
      <w:r>
        <w:rPr>
          <w:rFonts w:asciiTheme="majorBidi" w:hAnsiTheme="majorBidi" w:cstheme="majorBidi"/>
          <w:spacing w:val="-6"/>
          <w:sz w:val="28"/>
          <w:szCs w:val="28"/>
          <w:cs/>
          <w:lang w:val="th-TH" w:bidi="th-TH"/>
        </w:rPr>
        <w:t xml:space="preserve">บัญชี 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>(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Adjusted Book Value Approach) </w:t>
      </w:r>
      <w:r>
        <w:rPr>
          <w:rFonts w:asciiTheme="majorBidi" w:hAnsiTheme="majorBidi" w:cstheme="majorBidi"/>
          <w:spacing w:val="-6"/>
          <w:sz w:val="28"/>
          <w:szCs w:val="28"/>
          <w:cs/>
          <w:lang w:val="th-TH" w:bidi="th-TH"/>
        </w:rPr>
        <w:t xml:space="preserve">มูลค่าหุ้นละ 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65.60 </w:t>
      </w:r>
      <w:r>
        <w:rPr>
          <w:rFonts w:asciiTheme="majorBidi" w:hAnsiTheme="majorBidi" w:cstheme="majorBidi"/>
          <w:spacing w:val="-6"/>
          <w:sz w:val="28"/>
          <w:szCs w:val="28"/>
          <w:cs/>
          <w:lang w:val="th-TH" w:bidi="th-TH"/>
        </w:rPr>
        <w:t>บาทต่อหุ้น โดยวิธีอัตราส่วนราคาต่อมูลค่าตามบัญชี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 (P/BV)</w:t>
      </w:r>
      <w:r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6"/>
          <w:sz w:val="28"/>
          <w:szCs w:val="28"/>
          <w:cs/>
          <w:lang w:val="th-TH" w:bidi="th-TH"/>
        </w:rPr>
        <w:t>มูลค่าหุ้นละ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>261.03 - 279.73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บาทต่อหุ้น และประเมินโดยวิธีคิดลดกระแสเงินสดเป็นมูลค่าปัจจุบัน </w:t>
      </w:r>
      <w:r>
        <w:rPr>
          <w:rFonts w:asciiTheme="majorBidi" w:hAnsiTheme="majorBidi" w:cstheme="majorBidi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 xml:space="preserve">DCF)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มูลค่าหุ้นละ </w:t>
      </w:r>
      <w:r>
        <w:rPr>
          <w:rFonts w:asciiTheme="majorBidi" w:hAnsiTheme="majorBidi" w:cstheme="majorBidi"/>
          <w:sz w:val="28"/>
          <w:szCs w:val="28"/>
        </w:rPr>
        <w:t>298.32 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บาทต่อหุ้น ทั้งนี้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กลุ่มบริษัทและบริษัทได้แก้ไขข้อผิดพลาดในงบการเงินรวมและงบการเงินเฉพาะกิจการ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 w:type="textWrapping"/>
      </w:r>
      <w:r>
        <w:rPr>
          <w:rFonts w:asciiTheme="majorBidi" w:hAnsiTheme="majorBidi" w:cstheme="majorBidi"/>
          <w:spacing w:val="2"/>
          <w:sz w:val="28"/>
          <w:szCs w:val="28"/>
          <w:cs/>
          <w:lang w:val="th-TH" w:bidi="th-TH"/>
        </w:rPr>
        <w:t>ที่แสดงเป็นข้อมูลเปรียบเทียบ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ตามหมายเหตุประกอบ</w:t>
      </w:r>
      <w:r>
        <w:rPr>
          <w:rFonts w:hint="cs" w:asciiTheme="majorBidi" w:hAnsiTheme="majorBidi" w:cstheme="majorBidi"/>
          <w:sz w:val="28"/>
          <w:szCs w:val="28"/>
          <w:cs/>
          <w:lang w:val="th-TH" w:bidi="th-TH"/>
        </w:rPr>
        <w:t>งบการเงิน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ข้อ </w:t>
      </w:r>
      <w:r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โดยบริษัทได้ปรับปรุงค่าเผื่อการด้อยค่าเงินลงทุนเพิ่มเติมในงบการเงินรวม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จำนวน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57.94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ล้านบาท 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>(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งบการเงินฉพาะกิจการ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 :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 xml:space="preserve">จำนวน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42.75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ล้านบาท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>
        <w:rPr>
          <w:rFonts w:asciiTheme="majorBidi" w:hAnsiTheme="majorBidi" w:cstheme="majorBidi"/>
          <w:spacing w:val="-4"/>
          <w:sz w:val="28"/>
          <w:szCs w:val="28"/>
          <w:cs/>
          <w:lang w:val="th-TH" w:bidi="th-TH"/>
        </w:rPr>
        <w:t>นอกจากนี้ บริษัทได้เปลี่ยนแปลงวิธีการบันทึกเงินลงทุน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 xml:space="preserve">ในบริษัทร่วมดังกล่าว ด้วยวิธีปรับปรุงมูลค่าตามบัญชี 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Adjusted Book Value Approach) </w:t>
      </w:r>
      <w:r>
        <w:rPr>
          <w:rFonts w:asciiTheme="majorBidi" w:hAnsiTheme="majorBidi" w:cstheme="majorBidi"/>
          <w:spacing w:val="-2"/>
          <w:sz w:val="28"/>
          <w:szCs w:val="28"/>
          <w:cs/>
          <w:lang w:val="th-TH" w:bidi="th-TH"/>
        </w:rPr>
        <w:t>ตามส่วนได้เสียตามสัดส่วนการถือครอง</w:t>
      </w: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>เงินลงทุนในบริษัทร่วมดังกล่าว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 </w:t>
      </w:r>
      <w:r>
        <w:rPr>
          <w:rFonts w:eastAsia="Calibri" w:asciiTheme="majorBidi" w:hAnsiTheme="majorBidi"/>
          <w:spacing w:val="2"/>
          <w:sz w:val="28"/>
          <w:szCs w:val="28"/>
          <w:cs/>
          <w:lang w:val="th-TH" w:bidi="th-TH"/>
        </w:rPr>
        <w:t xml:space="preserve">ในวันที่ 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24 - 26 </w:t>
      </w:r>
      <w:r>
        <w:rPr>
          <w:rFonts w:eastAsia="Calibri" w:asciiTheme="majorBidi" w:hAnsiTheme="majorBidi"/>
          <w:spacing w:val="2"/>
          <w:sz w:val="28"/>
          <w:szCs w:val="28"/>
          <w:cs/>
          <w:lang w:val="th-TH" w:bidi="th-TH"/>
        </w:rPr>
        <w:t xml:space="preserve">กุมภาพันธ์ 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2569 </w:t>
      </w:r>
      <w:r>
        <w:rPr>
          <w:rFonts w:eastAsia="Calibri" w:asciiTheme="majorBidi" w:hAnsiTheme="majorBidi"/>
          <w:spacing w:val="2"/>
          <w:sz w:val="28"/>
          <w:szCs w:val="28"/>
          <w:cs/>
          <w:lang w:val="th-TH" w:bidi="th-TH"/>
        </w:rPr>
        <w:t xml:space="preserve">บริษัทรับเงินจากการขายคืนเงินลงทุนในบริษัทร่วมของบริษัทดังกล่าวทั้งจำนวน มูลค่า 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30.00 </w:t>
      </w:r>
      <w:r>
        <w:rPr>
          <w:rFonts w:eastAsia="Calibri" w:asciiTheme="majorBidi" w:hAnsiTheme="majorBidi"/>
          <w:spacing w:val="2"/>
          <w:sz w:val="28"/>
          <w:szCs w:val="28"/>
          <w:cs/>
          <w:lang w:val="th-TH" w:bidi="th-TH"/>
        </w:rPr>
        <w:t xml:space="preserve">ล้านบาท ณ วันที่ 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31 </w:t>
      </w:r>
      <w:r>
        <w:rPr>
          <w:rFonts w:eastAsia="Calibri" w:asciiTheme="majorBidi" w:hAnsiTheme="majorBidi"/>
          <w:spacing w:val="2"/>
          <w:sz w:val="28"/>
          <w:szCs w:val="28"/>
          <w:cs/>
          <w:lang w:val="th-TH" w:bidi="th-TH"/>
        </w:rPr>
        <w:t xml:space="preserve">ธันวาคม 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2568 </w:t>
      </w:r>
      <w:r>
        <w:rPr>
          <w:rFonts w:eastAsia="Calibri" w:asciiTheme="majorBidi" w:hAnsiTheme="majorBidi"/>
          <w:spacing w:val="2"/>
          <w:sz w:val="28"/>
          <w:szCs w:val="28"/>
          <w:cs/>
          <w:lang w:val="th-TH" w:bidi="th-TH"/>
        </w:rPr>
        <w:t>บริษัทกลับรายการค่าเผื่อ</w:t>
      </w:r>
      <w:r>
        <w:rPr>
          <w:rFonts w:eastAsia="Calibri" w:asciiTheme="majorBidi" w:hAnsiTheme="majorBidi"/>
          <w:sz w:val="28"/>
          <w:szCs w:val="28"/>
          <w:cs/>
          <w:lang w:val="th-TH" w:bidi="th-TH"/>
        </w:rPr>
        <w:t xml:space="preserve">การด้อยค่าเงินลงทุนสำหรับงบการเงินรวม จำนวน </w:t>
      </w:r>
      <w:r>
        <w:rPr>
          <w:rFonts w:eastAsia="Calibri" w:asciiTheme="majorBidi" w:hAnsiTheme="majorBidi" w:cstheme="majorBidi"/>
          <w:sz w:val="28"/>
          <w:szCs w:val="28"/>
        </w:rPr>
        <w:t xml:space="preserve">23.00 </w:t>
      </w:r>
      <w:r>
        <w:rPr>
          <w:rFonts w:eastAsia="Calibri" w:asciiTheme="majorBidi" w:hAnsiTheme="majorBidi"/>
          <w:sz w:val="28"/>
          <w:szCs w:val="28"/>
          <w:cs/>
          <w:lang w:val="th-TH" w:bidi="th-TH"/>
        </w:rPr>
        <w:t>ล้านบาท และงบ</w:t>
      </w:r>
      <w:r>
        <w:rPr>
          <w:rFonts w:hint="cs" w:eastAsia="Calibri" w:asciiTheme="majorBidi" w:hAnsiTheme="majorBidi"/>
          <w:sz w:val="28"/>
          <w:szCs w:val="28"/>
          <w:cs/>
          <w:lang w:val="th-TH" w:bidi="th-TH"/>
        </w:rPr>
        <w:t>การเงิน</w:t>
      </w:r>
      <w:r>
        <w:rPr>
          <w:rFonts w:eastAsia="Calibri" w:asciiTheme="majorBidi" w:hAnsiTheme="majorBidi"/>
          <w:sz w:val="28"/>
          <w:szCs w:val="28"/>
          <w:cs/>
          <w:lang w:val="th-TH" w:bidi="th-TH"/>
        </w:rPr>
        <w:t xml:space="preserve">เฉพาะกิจการ จำนวนเงินรวม </w:t>
      </w:r>
      <w:r>
        <w:rPr>
          <w:rFonts w:eastAsia="Calibri" w:asciiTheme="majorBidi" w:hAnsiTheme="majorBidi" w:cstheme="majorBidi"/>
          <w:sz w:val="28"/>
          <w:szCs w:val="28"/>
        </w:rPr>
        <w:t xml:space="preserve">17.95 </w:t>
      </w:r>
      <w:r>
        <w:rPr>
          <w:rFonts w:eastAsia="Calibri" w:asciiTheme="majorBidi" w:hAnsiTheme="majorBidi"/>
          <w:sz w:val="28"/>
          <w:szCs w:val="28"/>
          <w:cs/>
          <w:lang w:val="th-TH" w:bidi="th-TH"/>
        </w:rPr>
        <w:t>ล้านบาท</w:t>
      </w:r>
      <w:r>
        <w:rPr>
          <w:rFonts w:eastAsia="Calibri" w:asciiTheme="majorBidi" w:hAnsiTheme="majorBidi"/>
          <w:spacing w:val="2"/>
          <w:sz w:val="28"/>
          <w:szCs w:val="28"/>
          <w:cs/>
        </w:rPr>
        <w:t xml:space="preserve"> </w:t>
      </w:r>
      <w:r>
        <w:rPr>
          <w:rFonts w:eastAsia="Calibri" w:asciiTheme="majorBidi" w:hAnsiTheme="majorBidi"/>
          <w:spacing w:val="2"/>
          <w:sz w:val="28"/>
          <w:szCs w:val="28"/>
          <w:cs/>
          <w:lang w:val="th-TH" w:bidi="th-TH"/>
        </w:rPr>
        <w:t>เพื่อให้มูลค่าของเงินลงทุนเท่ากับมูลค่ายุติธรรมหักต้นทุนในการขายของเงินลงทุนที่จะขายคืน</w:t>
      </w:r>
    </w:p>
    <w:p w14:paraId="4C929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80" w:line="370" w:lineRule="exact"/>
        <w:jc w:val="thaiDistribute"/>
        <w:textAlignment w:val="baseline"/>
        <w:rPr>
          <w:rFonts w:eastAsia="Calibri" w:asciiTheme="majorBidi" w:hAnsiTheme="majorBidi" w:cstheme="majorBidi"/>
          <w:color w:val="EE0000"/>
          <w:spacing w:val="2"/>
          <w:sz w:val="28"/>
          <w:szCs w:val="28"/>
        </w:rPr>
      </w:pP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 xml:space="preserve">ทั้งนี้ </w:t>
      </w:r>
      <w:r>
        <w:rPr>
          <w:rFonts w:hint="cs"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>ความเห็นของข้าพเจ้าต่องบการเงินรวมและงบการเงินเฉพาะกิจการไม่ได้มีเงื่อนไขในเรื่องที่ข้าพเจ้าให้สังเกตนี้</w:t>
      </w:r>
    </w:p>
    <w:p w14:paraId="02F5C3F2">
      <w:pPr>
        <w:pStyle w:val="12"/>
        <w:spacing w:before="120" w:after="80" w:line="370" w:lineRule="exact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  <w:lang w:val="th-TH" w:bidi="th-TH"/>
        </w:rPr>
        <w:t>เรื่องอื่น</w:t>
      </w:r>
    </w:p>
    <w:p w14:paraId="597229E3">
      <w:pPr>
        <w:pStyle w:val="12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 xml:space="preserve">งบฐานะการเงินรวมและงบฐานะการเงินเฉพาะกิจการของบริษัท ไทย เอ็น ดี ที จำกัด </w:t>
      </w:r>
      <w:r>
        <w:rPr>
          <w:rFonts w:asciiTheme="majorBidi" w:hAnsiTheme="majorBidi" w:cstheme="majorBidi"/>
          <w:spacing w:val="2"/>
          <w:sz w:val="28"/>
          <w:cs/>
        </w:rPr>
        <w:t>(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มหาชน</w:t>
      </w:r>
      <w:r>
        <w:rPr>
          <w:rFonts w:asciiTheme="majorBidi" w:hAnsiTheme="majorBidi" w:cstheme="majorBidi"/>
          <w:spacing w:val="2"/>
          <w:sz w:val="28"/>
          <w:cs/>
        </w:rPr>
        <w:t xml:space="preserve">)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 xml:space="preserve">และบริษัทย่อย ณ วันที่ </w:t>
      </w:r>
      <w:r>
        <w:rPr>
          <w:rFonts w:asciiTheme="majorBidi" w:hAnsiTheme="majorBidi" w:cstheme="majorBidi"/>
          <w:spacing w:val="2"/>
          <w:sz w:val="28"/>
        </w:rPr>
        <w:br w:type="textWrapping"/>
      </w:r>
      <w:r>
        <w:rPr>
          <w:rFonts w:asciiTheme="majorBidi" w:hAnsiTheme="majorBidi" w:cstheme="majorBidi"/>
          <w:spacing w:val="-2"/>
          <w:sz w:val="28"/>
        </w:rPr>
        <w:t>31</w:t>
      </w:r>
      <w:r>
        <w:rPr>
          <w:rFonts w:asciiTheme="majorBidi" w:hAnsiTheme="majorBidi" w:cstheme="majorBidi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pacing w:val="-2"/>
          <w:sz w:val="28"/>
        </w:rPr>
        <w:t xml:space="preserve">2567 </w:t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>
        <w:rPr>
          <w:rFonts w:asciiTheme="majorBidi" w:hAnsiTheme="majorBidi" w:cstheme="majorBidi"/>
          <w:spacing w:val="2"/>
          <w:sz w:val="28"/>
        </w:rPr>
        <w:t xml:space="preserve"> (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ก่อนปรับปรุงใหม่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)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 แต่มีข้อมูลและเหตุการณ์ที่เน้นในเรื่องเกี่ยวกับผลกระทบของการแก้ไขการรับรู้รายได้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และต้นทุนที่เกี่ยวข้องกับ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การขายไฟฟ้า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จาก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พลัง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งาน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แสงอาทิตย์ในกลุ่ม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บริษัท</w:t>
      </w:r>
      <w:r>
        <w:rPr>
          <w:rFonts w:asciiTheme="majorBidi" w:hAnsiTheme="majorBidi" w:cstheme="majorBidi"/>
          <w:spacing w:val="2"/>
          <w:sz w:val="28"/>
        </w:rPr>
        <w:t xml:space="preserve">,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เงินมัดจำค่าสินค้าที่จ่ายล่วงหน้ากว่าร้อยละ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</w:rPr>
        <w:t xml:space="preserve">50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ให้กับกิจการที่เกี่ยวข้องกัน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>แห่งหนึ่ง และการบันทึกการเข้าซื้อเงินลงทุนในบริษัท</w:t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>ร่วม</w:t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>แห่งหนึ่งที่บันทึก</w:t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>ค่าเผื่อการ</w:t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>ด้อยค่า</w:t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>เงินลงทุน</w:t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>ในงบ</w:t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>การเงิน</w:t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>เฉพาะกิจการ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>และวรรคเรื่องอื่นที่ยังไม่ได้สอบทานรายการบัญชีของบริษัทย่อยแห่งหนึ่ง ประกอบกับผู้บริหารของกิจการได้จัดให้มีการตรวจสอบ</w:t>
      </w:r>
    </w:p>
    <w:p w14:paraId="45B0A3C1">
      <w:pPr>
        <w:pStyle w:val="1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****/4</w:t>
      </w:r>
    </w:p>
    <w:p w14:paraId="0F399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jc w:val="center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-4-</w:t>
      </w:r>
    </w:p>
    <w:p w14:paraId="296AC5C6">
      <w:pPr>
        <w:pStyle w:val="12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/>
          <w:spacing w:val="-4"/>
          <w:sz w:val="28"/>
          <w:cs/>
          <w:lang w:val="th-TH" w:bidi="th-TH"/>
        </w:rPr>
        <w:t xml:space="preserve">เป็นกรณีพิเศษของงบการเงินสำหรับงวดสิ้นสุดวันที่ </w:t>
      </w:r>
      <w:r>
        <w:rPr>
          <w:rFonts w:asciiTheme="majorBidi" w:hAnsiTheme="majorBidi" w:cstheme="majorBidi"/>
          <w:spacing w:val="-4"/>
          <w:sz w:val="28"/>
        </w:rPr>
        <w:t>30</w:t>
      </w:r>
      <w:r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cs/>
          <w:lang w:val="th-TH" w:bidi="th-TH"/>
        </w:rPr>
        <w:t>กันยา</w:t>
      </w:r>
      <w:r>
        <w:rPr>
          <w:rFonts w:hint="cs" w:asciiTheme="majorBidi" w:hAnsiTheme="majorBidi" w:cstheme="majorBidi"/>
          <w:spacing w:val="-4"/>
          <w:sz w:val="28"/>
          <w:cs/>
          <w:lang w:val="th-TH" w:bidi="th-TH"/>
        </w:rPr>
        <w:t>ย</w:t>
      </w:r>
      <w:r>
        <w:rPr>
          <w:rFonts w:asciiTheme="majorBidi" w:hAnsiTheme="majorBidi" w:cstheme="majorBidi"/>
          <w:spacing w:val="-4"/>
          <w:sz w:val="28"/>
          <w:cs/>
          <w:lang w:val="th-TH" w:bidi="th-TH"/>
        </w:rPr>
        <w:t xml:space="preserve">น </w:t>
      </w:r>
      <w:r>
        <w:rPr>
          <w:rFonts w:asciiTheme="majorBidi" w:hAnsiTheme="majorBidi" w:cstheme="majorBidi"/>
          <w:spacing w:val="-4"/>
          <w:sz w:val="28"/>
        </w:rPr>
        <w:t>2567</w:t>
      </w:r>
      <w:r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cs/>
          <w:lang w:val="th-TH" w:bidi="th-TH"/>
        </w:rPr>
        <w:t>ที่เคยแสดงเกณฑ์ในการให้ข้อสรุปอย่างมีเงื่อนไข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ได้ตรวจสอบ</w:t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 xml:space="preserve">งบการเงินของบริษัทย่อยสำหรับปีสิ้นสุดวันที่ </w:t>
      </w:r>
      <w:r>
        <w:rPr>
          <w:rFonts w:asciiTheme="majorBidi" w:hAnsiTheme="majorBidi" w:cstheme="majorBidi"/>
          <w:spacing w:val="-2"/>
          <w:sz w:val="28"/>
        </w:rPr>
        <w:t>31</w:t>
      </w:r>
      <w:r>
        <w:rPr>
          <w:rFonts w:hint="cs" w:asciiTheme="majorBidi" w:hAnsiTheme="majorBidi" w:cstheme="majorBidi"/>
          <w:spacing w:val="-2"/>
          <w:sz w:val="28"/>
          <w:cs/>
        </w:rPr>
        <w:t xml:space="preserve"> </w:t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 xml:space="preserve">ธันวาคม </w:t>
      </w:r>
      <w:r>
        <w:rPr>
          <w:rFonts w:asciiTheme="majorBidi" w:hAnsiTheme="majorBidi" w:cstheme="majorBidi"/>
          <w:spacing w:val="-2"/>
          <w:sz w:val="28"/>
        </w:rPr>
        <w:t xml:space="preserve">2567 </w:t>
      </w:r>
      <w:r>
        <w:rPr>
          <w:rFonts w:hint="cs" w:asciiTheme="majorBidi" w:hAnsiTheme="majorBidi" w:cstheme="majorBidi"/>
          <w:spacing w:val="-2"/>
          <w:sz w:val="28"/>
          <w:cs/>
          <w:lang w:val="th-TH" w:bidi="th-TH"/>
        </w:rPr>
        <w:t>จึงให้ข้อสรุปในรายงานการสอบทานข้อมูลทางการเงินระหว่างกาล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 xml:space="preserve">สำหรับงวดสิ้นสุดวันที่ </w:t>
      </w:r>
      <w:r>
        <w:rPr>
          <w:rFonts w:asciiTheme="majorBidi" w:hAnsiTheme="majorBidi" w:cstheme="majorBidi"/>
          <w:spacing w:val="2"/>
          <w:sz w:val="28"/>
        </w:rPr>
        <w:t>30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 xml:space="preserve">กันยายน </w:t>
      </w:r>
      <w:r>
        <w:rPr>
          <w:rFonts w:asciiTheme="majorBidi" w:hAnsiTheme="majorBidi" w:cstheme="majorBidi"/>
          <w:spacing w:val="2"/>
          <w:sz w:val="28"/>
        </w:rPr>
        <w:t xml:space="preserve">2567 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 xml:space="preserve">ว่าไม่พบสิ่งที่เป็นเหตุให้เชื่อว่าข้อมูลทางกาลเงินระหว่างกาลไม่ได้จัดทำขึ้นตามมาตรฐานการบัญชี ฉบับที่ </w:t>
      </w:r>
      <w:r>
        <w:rPr>
          <w:rFonts w:asciiTheme="majorBidi" w:hAnsiTheme="majorBidi" w:cstheme="majorBidi"/>
          <w:spacing w:val="2"/>
          <w:sz w:val="28"/>
        </w:rPr>
        <w:t xml:space="preserve">34 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 xml:space="preserve">เรื่อง การรายงานทางการเงินระหว่างกาลในสาระสำคัญ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ตามรายงานลงวันที่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</w:rPr>
        <w:t>28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 xml:space="preserve">กุมภาพันธ์ </w:t>
      </w:r>
      <w:r>
        <w:rPr>
          <w:rFonts w:asciiTheme="majorBidi" w:hAnsiTheme="majorBidi" w:cstheme="majorBidi"/>
          <w:spacing w:val="2"/>
          <w:sz w:val="28"/>
        </w:rPr>
        <w:t>2568</w:t>
      </w:r>
    </w:p>
    <w:p w14:paraId="44C4D314">
      <w:pPr>
        <w:pStyle w:val="12"/>
        <w:spacing w:before="180" w:after="12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  <w:lang w:val="th-TH" w:bidi="th-TH"/>
        </w:rPr>
        <w:t>ข้อมูลอื่น</w:t>
      </w:r>
    </w:p>
    <w:p w14:paraId="4DE27B62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รวมและงบการเงินเฉพาะกิจการ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 xml:space="preserve">และรายงานของผู้สอบบัญชีที่อยู่ในรายงานประจำปีนั้น 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ซึ่ง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คาดว่ารายงานประจำปี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จะถูกจัดเตรียม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ให้ข้าพเจ้า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ภายหลังวันที่ในรายงานของผู้สอบบัญชีนี้</w:t>
      </w:r>
    </w:p>
    <w:p w14:paraId="04A445A2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Theme="majorBidi" w:hAnsiTheme="majorBidi" w:cstheme="majorBidi"/>
          <w:spacing w:val="2"/>
          <w:sz w:val="28"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ความเชื่อมั่นต่อข้อมูลอื่น</w:t>
      </w:r>
    </w:p>
    <w:p w14:paraId="2D1001F6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รวมและงบการเงินเฉพาะกิจการ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A28175A">
      <w:pPr>
        <w:pStyle w:val="12"/>
        <w:spacing w:before="120" w:after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A45C317">
      <w:pPr>
        <w:pStyle w:val="12"/>
        <w:spacing w:after="12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  <w:lang w:val="th-TH"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159F21E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ตามมาตรฐานการรายงานทางการเงิน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และรับผิดชอบเกี่ยวกับการควบคุมภายในที่ผู้บริหารพิจารณาว่าจำเป็นเพื่อให้สามารถ</w:t>
      </w:r>
      <w:r>
        <w:rPr>
          <w:rFonts w:asciiTheme="majorBidi" w:hAnsiTheme="majorBidi" w:cstheme="majorBidi"/>
          <w:spacing w:val="-2"/>
          <w:sz w:val="28"/>
          <w:cs/>
          <w:lang w:val="th-TH" w:bidi="th-TH"/>
        </w:rPr>
        <w:t>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การทุจริตหรือข้อผิดพลาด</w:t>
      </w:r>
    </w:p>
    <w:p w14:paraId="62AA3B8B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ในการจัดทำงบการเงินรวมและงบการเงินเฉพาะกิจการ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>
        <w:rPr>
          <w:rFonts w:asciiTheme="majorBidi" w:hAnsiTheme="majorBidi" w:cstheme="majorBidi"/>
          <w:spacing w:val="2"/>
          <w:sz w:val="28"/>
        </w:rPr>
        <w:t xml:space="preserve"> (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ตามความเหมาะสม</w:t>
      </w:r>
      <w:r>
        <w:rPr>
          <w:rFonts w:asciiTheme="majorBidi" w:hAnsiTheme="majorBidi" w:cstheme="majorBidi"/>
          <w:spacing w:val="2"/>
          <w:sz w:val="28"/>
        </w:rPr>
        <w:t xml:space="preserve">)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>
        <w:rPr>
          <w:rFonts w:hint="cs" w:asciiTheme="majorBidi" w:hAnsiTheme="majorBidi" w:cstheme="majorBidi"/>
          <w:spacing w:val="2"/>
          <w:sz w:val="28"/>
          <w:cs/>
          <w:lang w:val="th-TH" w:bidi="th-TH"/>
        </w:rPr>
        <w:t>กลุ่มบริษัทและ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บริษัท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หรือหยุดดำเนินงาน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หรือไม่สามารถดำเนินงานต่อเนื่องต่อไปได้</w:t>
      </w:r>
    </w:p>
    <w:p w14:paraId="37BB2AC0">
      <w:pPr>
        <w:pStyle w:val="12"/>
        <w:spacing w:before="120" w:after="18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62554C4E">
      <w:pPr>
        <w:pStyle w:val="12"/>
        <w:spacing w:before="120" w:after="180"/>
        <w:jc w:val="thaiDistribute"/>
        <w:rPr>
          <w:rFonts w:asciiTheme="majorBidi" w:hAnsiTheme="majorBidi" w:cstheme="majorBidi"/>
          <w:spacing w:val="2"/>
          <w:sz w:val="28"/>
        </w:rPr>
      </w:pPr>
    </w:p>
    <w:p w14:paraId="7E4E4750">
      <w:pPr>
        <w:pStyle w:val="12"/>
        <w:spacing w:before="120" w:after="180"/>
        <w:jc w:val="thaiDistribute"/>
        <w:rPr>
          <w:rFonts w:asciiTheme="majorBidi" w:hAnsiTheme="majorBidi" w:cstheme="majorBidi"/>
          <w:spacing w:val="2"/>
          <w:sz w:val="28"/>
        </w:rPr>
      </w:pPr>
    </w:p>
    <w:p w14:paraId="15048833">
      <w:pPr>
        <w:pStyle w:val="12"/>
        <w:spacing w:before="120" w:after="180"/>
        <w:jc w:val="thaiDistribute"/>
        <w:rPr>
          <w:rFonts w:asciiTheme="majorBidi" w:hAnsiTheme="majorBidi" w:cstheme="majorBidi"/>
          <w:spacing w:val="2"/>
          <w:sz w:val="28"/>
        </w:rPr>
      </w:pPr>
    </w:p>
    <w:p w14:paraId="02CA06D9">
      <w:pPr>
        <w:pStyle w:val="12"/>
        <w:spacing w:before="120" w:after="180"/>
        <w:jc w:val="thaiDistribute"/>
        <w:rPr>
          <w:rFonts w:asciiTheme="majorBidi" w:hAnsiTheme="majorBidi" w:cstheme="majorBidi"/>
          <w:spacing w:val="2"/>
          <w:sz w:val="28"/>
        </w:rPr>
      </w:pPr>
    </w:p>
    <w:p w14:paraId="39856533">
      <w:pPr>
        <w:pStyle w:val="12"/>
        <w:jc w:val="right"/>
        <w:rPr>
          <w:rFonts w:asciiTheme="majorBidi" w:hAnsiTheme="majorBidi" w:cstheme="majorBidi"/>
          <w:spacing w:val="2"/>
          <w:sz w:val="28"/>
          <w:cs/>
        </w:rPr>
      </w:pPr>
      <w:r>
        <w:rPr>
          <w:rFonts w:asciiTheme="majorBidi" w:hAnsiTheme="majorBidi" w:cstheme="majorBidi"/>
          <w:spacing w:val="2"/>
          <w:sz w:val="28"/>
        </w:rPr>
        <w:t>****/5</w:t>
      </w: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211659E">
      <w:pPr>
        <w:pStyle w:val="12"/>
        <w:spacing w:before="120"/>
        <w:jc w:val="center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</w:rPr>
        <w:t>-5-</w:t>
      </w:r>
    </w:p>
    <w:p w14:paraId="620B7B8F">
      <w:pPr>
        <w:pStyle w:val="12"/>
        <w:spacing w:after="12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  <w:lang w:val="th-TH"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D9019C7">
      <w:pPr>
        <w:pStyle w:val="12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และเสนอรายงานของผู้สอบบัญชีซึ่งรวมความเห็นของข้าพเจ้าอยู่ด้วย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ความเชื่อมั่นอย่างสมเหตุสมผล คือ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39D8A9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การปฏิบัติงานของข้าพเจ้ารวมถึง</w:t>
      </w:r>
    </w:p>
    <w:p w14:paraId="64BE4235">
      <w:pPr>
        <w:pStyle w:val="12"/>
        <w:numPr>
          <w:ilvl w:val="0"/>
          <w:numId w:val="3"/>
        </w:numPr>
        <w:ind w:left="476" w:hanging="462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ออกแบบ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และปฏิบัติงานตามวิธีการตรวจสอบเพื่อตอบสนองต่อความเสี่ยงเหล่านั้น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ของข้าพเจ้า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ที่เกิดจากข้อผิดพลาดเนื่องจากการทุจริตอาจเกี่ยวกับการสมรู้ร่วมคิด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การปลอมแปลงเอกสารหลักฐาน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การตั้งใจละเว้นการแสดงข้อมูล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การแสดงข้อมูลที่ไม่ตรงตามข้อเท็จจริง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หรือการแทรกแซงการควบคุมภายใน</w:t>
      </w:r>
    </w:p>
    <w:p w14:paraId="71FECEC2">
      <w:pPr>
        <w:pStyle w:val="12"/>
        <w:numPr>
          <w:ilvl w:val="0"/>
          <w:numId w:val="3"/>
        </w:numPr>
        <w:spacing w:before="120"/>
        <w:ind w:left="470" w:hanging="459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C1A135C">
      <w:pPr>
        <w:pStyle w:val="12"/>
        <w:numPr>
          <w:ilvl w:val="0"/>
          <w:numId w:val="3"/>
        </w:numPr>
        <w:spacing w:before="120"/>
        <w:ind w:left="490" w:hanging="462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การเปิดเผยข้อมูลที่เกี่ยวข้องซึ่งจัดทำขึ้นโดยผู้บริหาร</w:t>
      </w:r>
    </w:p>
    <w:p w14:paraId="5F6572E2">
      <w:pPr>
        <w:pStyle w:val="12"/>
        <w:numPr>
          <w:ilvl w:val="0"/>
          <w:numId w:val="3"/>
        </w:numPr>
        <w:spacing w:before="120"/>
        <w:ind w:left="490" w:hanging="462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การสอบบัญชีที่ได้รับ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1F5265C">
      <w:pPr>
        <w:pStyle w:val="12"/>
        <w:numPr>
          <w:ilvl w:val="0"/>
          <w:numId w:val="3"/>
        </w:numPr>
        <w:spacing w:before="120"/>
        <w:ind w:left="490" w:hanging="462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ประเมินการนำเสนอ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โครงสร้าง</w:t>
      </w:r>
      <w:r>
        <w:rPr>
          <w:rFonts w:hint="cs" w:asciiTheme="majorBidi" w:hAnsiTheme="majorBidi" w:cstheme="majorBidi"/>
          <w:spacing w:val="2"/>
          <w:sz w:val="28"/>
          <w:cs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</w:t>
      </w:r>
      <w:r>
        <w:rPr>
          <w:rFonts w:asciiTheme="majorBidi" w:hAnsiTheme="majorBidi" w:cstheme="majorBidi"/>
          <w:spacing w:val="2"/>
          <w:sz w:val="28"/>
          <w:cs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โดยถูกต้องตามที่ควรหรือไม่</w:t>
      </w:r>
    </w:p>
    <w:p w14:paraId="79C2C76E">
      <w:pPr>
        <w:pStyle w:val="12"/>
        <w:spacing w:before="120"/>
        <w:ind w:left="1146"/>
        <w:jc w:val="right"/>
        <w:rPr>
          <w:rFonts w:asciiTheme="majorBidi" w:hAnsiTheme="majorBidi" w:cstheme="majorBidi"/>
          <w:spacing w:val="2"/>
          <w:sz w:val="28"/>
        </w:rPr>
      </w:pPr>
    </w:p>
    <w:p w14:paraId="354784E7">
      <w:pPr>
        <w:pStyle w:val="12"/>
        <w:spacing w:before="120"/>
        <w:ind w:left="1146"/>
        <w:jc w:val="right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</w:rPr>
        <w:t>****/6</w:t>
      </w:r>
    </w:p>
    <w:p w14:paraId="0A8F53A2">
      <w:pPr>
        <w:pStyle w:val="12"/>
        <w:spacing w:before="120"/>
        <w:jc w:val="center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</w:rPr>
        <w:t>-6-</w:t>
      </w:r>
    </w:p>
    <w:p w14:paraId="44CD8498">
      <w:pPr>
        <w:pStyle w:val="12"/>
        <w:numPr>
          <w:ilvl w:val="0"/>
          <w:numId w:val="3"/>
        </w:numPr>
        <w:spacing w:before="120"/>
        <w:ind w:left="490" w:hanging="462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 </w:t>
      </w:r>
      <w:r>
        <w:rPr>
          <w:rFonts w:asciiTheme="majorBidi" w:hAnsiTheme="majorBidi" w:cstheme="majorBidi"/>
          <w:spacing w:val="2"/>
          <w:sz w:val="28"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>
        <w:rPr>
          <w:rFonts w:asciiTheme="majorBidi" w:hAnsiTheme="majorBidi" w:cstheme="majorBidi"/>
          <w:spacing w:val="2"/>
          <w:sz w:val="28"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1B6487A6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ประเด็นที่มีนัยสำคัญที่พบจากการตรวจสอบ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รวมถึงข้อบกพร่องที่มีนัยสำคัญในระบบการควบคุมภายใน</w:t>
      </w:r>
      <w:r>
        <w:rPr>
          <w:rFonts w:asciiTheme="majorBidi" w:hAnsiTheme="majorBidi" w:cstheme="majorBidi"/>
          <w:spacing w:val="2"/>
          <w:sz w:val="28"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หากข้าพเจ้าได้พบในระหว่างการตรวจสอบของข้าพเจ้า</w:t>
      </w:r>
    </w:p>
    <w:p w14:paraId="7AB4A944">
      <w:pPr>
        <w:pStyle w:val="12"/>
        <w:spacing w:before="12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pacing w:val="-4"/>
          <w:sz w:val="28"/>
          <w:cs/>
          <w:lang w:val="th-TH" w:bidi="th-TH"/>
        </w:rPr>
        <w:t>ข้าพเจ้าได้ให้คำรับรองแก่ผู้มีหน้าที่ในการกำกับดูแลว่า</w:t>
      </w:r>
      <w:r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  <w:cs/>
          <w:lang w:val="th-TH"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>
        <w:rPr>
          <w:rFonts w:asciiTheme="majorBidi" w:hAnsiTheme="majorBidi" w:cstheme="majorBidi"/>
          <w:sz w:val="28"/>
          <w:cs/>
          <w:lang w:val="th-TH" w:bidi="th-TH"/>
        </w:rPr>
        <w:t>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  <w:cs/>
          <w:lang w:val="th-TH" w:bidi="th-TH"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hint="cs" w:asciiTheme="majorBidi" w:hAnsiTheme="majorBidi" w:cstheme="majorBidi"/>
          <w:sz w:val="28"/>
          <w:cs/>
          <w:lang w:val="th-TH" w:bidi="th-TH"/>
        </w:rPr>
        <w:t xml:space="preserve">และการดำเนินการเพื่อขจัดอุปสรรคหรือมาตรการป้องกันของข้าพเจ้า </w:t>
      </w:r>
      <w:r>
        <w:rPr>
          <w:rFonts w:hint="cs" w:asciiTheme="majorBidi" w:hAnsiTheme="majorBidi" w:cstheme="majorBidi"/>
          <w:sz w:val="28"/>
          <w:cs/>
        </w:rPr>
        <w:t>(</w:t>
      </w:r>
      <w:r>
        <w:rPr>
          <w:rFonts w:hint="cs" w:asciiTheme="majorBidi" w:hAnsiTheme="majorBidi" w:cstheme="majorBidi"/>
          <w:sz w:val="28"/>
          <w:cs/>
          <w:lang w:val="th-TH" w:bidi="th-TH"/>
        </w:rPr>
        <w:t>ถ้ามี</w:t>
      </w:r>
      <w:r>
        <w:rPr>
          <w:rFonts w:hint="cs" w:asciiTheme="majorBidi" w:hAnsiTheme="majorBidi" w:cstheme="majorBidi"/>
          <w:sz w:val="28"/>
          <w:cs/>
        </w:rPr>
        <w:t>)</w:t>
      </w:r>
    </w:p>
    <w:p w14:paraId="33A42E32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จากเรื่องที่สื่อสารกับผู้มีหน้าที่ในการกำกับดูแล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ข้าพเจ้าได้พิจารณาเรื่องต่าง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ข้าพเจ้าได้อธิบายเรื่องเหล่านี้ในรายงานของผู้สอบบัญชี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</w:t>
      </w:r>
      <w:r>
        <w:rPr>
          <w:rFonts w:asciiTheme="majorBidi" w:hAnsiTheme="majorBidi" w:cstheme="majorBidi"/>
          <w:spacing w:val="2"/>
          <w:sz w:val="28"/>
        </w:rPr>
        <w:br w:type="textWrapping"/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ที่จะเกิดขึ้น</w:t>
      </w:r>
      <w:r>
        <w:rPr>
          <w:rFonts w:asciiTheme="majorBidi" w:hAnsiTheme="majorBidi" w:cstheme="majorBidi"/>
          <w:spacing w:val="2"/>
          <w:sz w:val="28"/>
        </w:rPr>
        <w:t xml:space="preserve"> </w:t>
      </w:r>
      <w:r>
        <w:rPr>
          <w:rFonts w:asciiTheme="majorBidi" w:hAnsiTheme="majorBidi" w:cstheme="majorBidi"/>
          <w:spacing w:val="2"/>
          <w:sz w:val="28"/>
          <w:cs/>
          <w:lang w:val="th-TH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64050A">
      <w:pPr>
        <w:spacing w:before="120" w:line="320" w:lineRule="exact"/>
        <w:jc w:val="thaiDistribute"/>
        <w:rPr>
          <w:rFonts w:eastAsia="Calibri" w:asciiTheme="majorBidi" w:hAnsiTheme="majorBidi" w:cstheme="majorBidi"/>
          <w:spacing w:val="2"/>
          <w:sz w:val="28"/>
          <w:szCs w:val="28"/>
        </w:rPr>
      </w:pP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>ผู้สอบบัญชีที่รับผิดชอบงานสอบบัญชีและการนำเสนอรายงานฉบับนี้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 </w:t>
      </w: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>คือ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 </w:t>
      </w: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>นายพจน์ อัศวสันติชัย</w:t>
      </w:r>
    </w:p>
    <w:p w14:paraId="3C8D1546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bookmarkStart w:id="3" w:name="_Hlk223028823"/>
    </w:p>
    <w:p w14:paraId="0B75E17E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</w:rPr>
        <w:t xml:space="preserve"> </w:t>
      </w:r>
    </w:p>
    <w:p w14:paraId="4458680E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  <w:r>
        <w:rPr>
          <w:rFonts w:asciiTheme="majorBidi" w:hAnsiTheme="majorBidi" w:cstheme="majorBidi"/>
          <w:spacing w:val="2"/>
          <w:sz w:val="28"/>
        </w:rPr>
        <w:t xml:space="preserve"> </w:t>
      </w:r>
    </w:p>
    <w:p w14:paraId="7D59B2CB">
      <w:pPr>
        <w:pStyle w:val="12"/>
        <w:spacing w:before="120"/>
        <w:jc w:val="thaiDistribute"/>
        <w:rPr>
          <w:rFonts w:asciiTheme="majorBidi" w:hAnsiTheme="majorBidi" w:cstheme="majorBidi"/>
          <w:spacing w:val="2"/>
          <w:sz w:val="28"/>
        </w:rPr>
      </w:pPr>
    </w:p>
    <w:p w14:paraId="3718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3"/>
    <w:p w14:paraId="6CA2211B">
      <w:pPr>
        <w:spacing w:before="120" w:line="320" w:lineRule="exact"/>
        <w:jc w:val="thaiDistribute"/>
        <w:rPr>
          <w:rFonts w:eastAsia="Calibri" w:asciiTheme="majorBidi" w:hAnsiTheme="majorBidi" w:cstheme="majorBidi"/>
          <w:spacing w:val="2"/>
          <w:sz w:val="28"/>
          <w:szCs w:val="28"/>
        </w:rPr>
      </w:pPr>
      <w:r>
        <w:rPr>
          <w:rFonts w:hint="cs" w:eastAsia="Calibri" w:asciiTheme="majorBidi" w:hAnsiTheme="majorBidi" w:cstheme="majorBidi"/>
          <w:spacing w:val="2"/>
          <w:sz w:val="28"/>
          <w:szCs w:val="28"/>
          <w:cs/>
        </w:rPr>
        <w:t>(</w:t>
      </w: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>นายพจน์ อัศวสันติชัย</w:t>
      </w:r>
      <w:r>
        <w:rPr>
          <w:rFonts w:hint="cs" w:eastAsia="Calibri" w:asciiTheme="majorBidi" w:hAnsiTheme="majorBidi" w:cstheme="majorBidi"/>
          <w:spacing w:val="2"/>
          <w:sz w:val="28"/>
          <w:szCs w:val="28"/>
          <w:cs/>
        </w:rPr>
        <w:t>)</w:t>
      </w:r>
    </w:p>
    <w:p w14:paraId="35FBBA18">
      <w:pPr>
        <w:spacing w:line="360" w:lineRule="exact"/>
        <w:jc w:val="thaiDistribute"/>
        <w:rPr>
          <w:rFonts w:eastAsia="Calibri" w:asciiTheme="majorBidi" w:hAnsiTheme="majorBidi" w:cstheme="majorBidi"/>
          <w:spacing w:val="2"/>
          <w:sz w:val="28"/>
          <w:szCs w:val="28"/>
        </w:rPr>
      </w:pP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>ผู้สอบบัญชีรับอนุญาต</w:t>
      </w:r>
    </w:p>
    <w:p w14:paraId="57383E24">
      <w:pPr>
        <w:spacing w:line="360" w:lineRule="exact"/>
        <w:jc w:val="thaiDistribute"/>
        <w:rPr>
          <w:rFonts w:eastAsia="Calibri" w:asciiTheme="majorBidi" w:hAnsiTheme="majorBidi" w:cstheme="majorBidi"/>
          <w:spacing w:val="2"/>
          <w:sz w:val="28"/>
          <w:szCs w:val="28"/>
        </w:rPr>
      </w:pP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 xml:space="preserve">เลขทะเบียนเลขที่ 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>4891</w:t>
      </w:r>
    </w:p>
    <w:p w14:paraId="42FEE8D4">
      <w:pPr>
        <w:spacing w:before="240" w:line="360" w:lineRule="exact"/>
        <w:jc w:val="thaiDistribute"/>
        <w:rPr>
          <w:rFonts w:eastAsia="Calibri" w:asciiTheme="majorBidi" w:hAnsiTheme="majorBidi" w:cstheme="majorBidi"/>
          <w:spacing w:val="2"/>
          <w:sz w:val="28"/>
          <w:szCs w:val="28"/>
        </w:rPr>
      </w:pP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>บริษัท กรินทร์ ออดิท จำกัด</w:t>
      </w:r>
    </w:p>
    <w:p w14:paraId="4836DB8A">
      <w:pPr>
        <w:spacing w:line="360" w:lineRule="exact"/>
        <w:jc w:val="thaiDistribute"/>
        <w:rPr>
          <w:rFonts w:eastAsia="Calibri" w:asciiTheme="majorBidi" w:hAnsiTheme="majorBidi" w:cstheme="majorBidi"/>
          <w:spacing w:val="2"/>
          <w:sz w:val="28"/>
          <w:szCs w:val="28"/>
          <w:cs/>
        </w:rPr>
      </w:pP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>กรุงเทพมหานคร</w:t>
      </w:r>
    </w:p>
    <w:p w14:paraId="7B9124C1">
      <w:pPr>
        <w:spacing w:line="360" w:lineRule="exact"/>
        <w:jc w:val="thaiDistribute"/>
        <w:rPr>
          <w:rFonts w:eastAsia="Calibri" w:asciiTheme="majorBidi" w:hAnsiTheme="majorBidi" w:cstheme="majorBidi"/>
          <w:spacing w:val="2"/>
          <w:sz w:val="28"/>
          <w:szCs w:val="28"/>
        </w:rPr>
      </w:pP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 xml:space="preserve">วันที่ 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 xml:space="preserve">27 </w:t>
      </w:r>
      <w:r>
        <w:rPr>
          <w:rFonts w:eastAsia="Calibri" w:asciiTheme="majorBidi" w:hAnsiTheme="majorBidi" w:cstheme="majorBidi"/>
          <w:spacing w:val="2"/>
          <w:sz w:val="28"/>
          <w:szCs w:val="28"/>
          <w:cs/>
          <w:lang w:val="th-TH" w:bidi="th-TH"/>
        </w:rPr>
        <w:t xml:space="preserve">กุมภาพันธ์ </w:t>
      </w:r>
      <w:r>
        <w:rPr>
          <w:rFonts w:eastAsia="Calibri" w:asciiTheme="majorBidi" w:hAnsiTheme="majorBidi" w:cstheme="majorBidi"/>
          <w:spacing w:val="2"/>
          <w:sz w:val="28"/>
          <w:szCs w:val="28"/>
        </w:rPr>
        <w:t>2569</w:t>
      </w:r>
    </w:p>
    <w:p w14:paraId="43CDF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p w14:paraId="4F0E6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0"/>
    <w:p w14:paraId="5417F0DD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p w14:paraId="128FCE48">
      <w:pPr>
        <w:pStyle w:val="7"/>
        <w:tabs>
          <w:tab w:val="left" w:pos="90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08"/>
        <w:rPr>
          <w:rFonts w:eastAsia="Cordia New" w:asciiTheme="majorBidi" w:hAnsiTheme="majorBidi" w:cstheme="majorBidi"/>
        </w:rPr>
      </w:pPr>
    </w:p>
    <w:sectPr>
      <w:headerReference r:id="rId9" w:type="first"/>
      <w:footerReference r:id="rId11" w:type="first"/>
      <w:headerReference r:id="rId8" w:type="default"/>
      <w:footerReference r:id="rId10" w:type="default"/>
      <w:pgSz w:w="11909" w:h="16834"/>
      <w:pgMar w:top="1469" w:right="906" w:bottom="284" w:left="1418" w:header="476" w:footer="567" w:gutter="0"/>
      <w:pgNumType w:start="0" w:chapStyle="1"/>
      <w:cols w:space="720" w:num="1"/>
      <w:titlePg/>
      <w:docGrid w:linePitch="24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63613">
    <w:pPr>
      <w:pStyle w:val="5"/>
    </w:pPr>
    <w:r>
      <w:rPr>
        <w:color w:val="000000"/>
      </w:rPr>
      <w:drawing>
        <wp:inline distT="0" distB="0" distL="0" distR="0">
          <wp:extent cx="5694045" cy="226695"/>
          <wp:effectExtent l="0" t="0" r="0" b="0"/>
          <wp:docPr id="175561893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3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BAAD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D65A9">
    <w:pPr>
      <w:tabs>
        <w:tab w:val="left" w:pos="9000"/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  <w:r>
      <w:rPr>
        <w:rStyle w:val="8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CE734">
    <w:pPr>
      <w:pStyle w:val="6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1755618925" name="image1.png" descr="A close up of a business card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25" name="image1.png" descr="A close up of a business card&#10;&#10;AI-generated content may be incorrect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drawing>
        <wp:inline distT="0" distB="0" distL="0" distR="0">
          <wp:extent cx="951230" cy="323215"/>
          <wp:effectExtent l="0" t="0" r="0" b="0"/>
          <wp:docPr id="175561892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27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03499">
    <w:pPr>
      <w:pStyle w:val="6"/>
    </w:pPr>
    <w:r>
      <w:rPr>
        <w:color w:val="000000"/>
      </w:rPr>
      <w:drawing>
        <wp:inline distT="0" distB="0" distL="0" distR="0">
          <wp:extent cx="951230" cy="323215"/>
          <wp:effectExtent l="0" t="0" r="0" b="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8AAE7">
    <w:pPr>
      <w:pStyle w:val="6"/>
    </w:pPr>
    <w:r>
      <w:drawing>
        <wp:inline distT="0" distB="0" distL="0" distR="0">
          <wp:extent cx="951230" cy="323215"/>
          <wp:effectExtent l="0" t="0" r="1270" b="635"/>
          <wp:docPr id="2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5EDFC">
    <w:pPr>
      <w:pStyle w:val="6"/>
    </w:pPr>
    <w:r>
      <w:drawing>
        <wp:inline distT="0" distB="0" distL="0" distR="0">
          <wp:extent cx="951230" cy="323215"/>
          <wp:effectExtent l="0" t="0" r="1270" b="635"/>
          <wp:docPr id="875121900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5121900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1607B8"/>
    <w:multiLevelType w:val="multilevel"/>
    <w:tmpl w:val="211607B8"/>
    <w:lvl w:ilvl="0" w:tentative="0">
      <w:start w:val="1"/>
      <w:numFmt w:val="thaiLetters"/>
      <w:lvlText w:val="%1."/>
      <w:lvlJc w:val="left"/>
      <w:pPr>
        <w:ind w:left="720" w:hanging="360"/>
      </w:pPr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F372B"/>
    <w:multiLevelType w:val="multilevel"/>
    <w:tmpl w:val="38BF372B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">
    <w:nsid w:val="6721353A"/>
    <w:multiLevelType w:val="multilevel"/>
    <w:tmpl w:val="6721353A"/>
    <w:lvl w:ilvl="0" w:tentative="0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194"/>
    <w:rsid w:val="00007BCF"/>
    <w:rsid w:val="00020A5A"/>
    <w:rsid w:val="00025C0E"/>
    <w:rsid w:val="00034143"/>
    <w:rsid w:val="00037B5E"/>
    <w:rsid w:val="00040382"/>
    <w:rsid w:val="00041023"/>
    <w:rsid w:val="000536D7"/>
    <w:rsid w:val="00064192"/>
    <w:rsid w:val="00064437"/>
    <w:rsid w:val="00064B87"/>
    <w:rsid w:val="0006633C"/>
    <w:rsid w:val="00082F7E"/>
    <w:rsid w:val="00086EF6"/>
    <w:rsid w:val="00086F4F"/>
    <w:rsid w:val="000907D2"/>
    <w:rsid w:val="00095CC0"/>
    <w:rsid w:val="000A5334"/>
    <w:rsid w:val="000A7E36"/>
    <w:rsid w:val="000B2AE4"/>
    <w:rsid w:val="000C2FFB"/>
    <w:rsid w:val="000D5AD1"/>
    <w:rsid w:val="000E60FE"/>
    <w:rsid w:val="000F6B1C"/>
    <w:rsid w:val="0010081D"/>
    <w:rsid w:val="00100A17"/>
    <w:rsid w:val="00102EE8"/>
    <w:rsid w:val="00110E41"/>
    <w:rsid w:val="00116070"/>
    <w:rsid w:val="001165CD"/>
    <w:rsid w:val="00120AC6"/>
    <w:rsid w:val="001314E5"/>
    <w:rsid w:val="001366B9"/>
    <w:rsid w:val="001435D5"/>
    <w:rsid w:val="00154BBE"/>
    <w:rsid w:val="00156F0A"/>
    <w:rsid w:val="0016076B"/>
    <w:rsid w:val="001674AD"/>
    <w:rsid w:val="00170DD3"/>
    <w:rsid w:val="001769DD"/>
    <w:rsid w:val="00183CB9"/>
    <w:rsid w:val="00185FF2"/>
    <w:rsid w:val="001860A0"/>
    <w:rsid w:val="001A1B92"/>
    <w:rsid w:val="001A69FC"/>
    <w:rsid w:val="001C369D"/>
    <w:rsid w:val="001C5090"/>
    <w:rsid w:val="001D586D"/>
    <w:rsid w:val="001D6AC2"/>
    <w:rsid w:val="001E1909"/>
    <w:rsid w:val="001E6E75"/>
    <w:rsid w:val="001E742F"/>
    <w:rsid w:val="001F1A4D"/>
    <w:rsid w:val="001F2878"/>
    <w:rsid w:val="001F4221"/>
    <w:rsid w:val="00211FEC"/>
    <w:rsid w:val="00220646"/>
    <w:rsid w:val="002323C1"/>
    <w:rsid w:val="00240BD3"/>
    <w:rsid w:val="00253537"/>
    <w:rsid w:val="00263582"/>
    <w:rsid w:val="00264F31"/>
    <w:rsid w:val="0027128C"/>
    <w:rsid w:val="0027642E"/>
    <w:rsid w:val="002920FE"/>
    <w:rsid w:val="002953AE"/>
    <w:rsid w:val="0029697E"/>
    <w:rsid w:val="002A0FA5"/>
    <w:rsid w:val="002A791A"/>
    <w:rsid w:val="002B537D"/>
    <w:rsid w:val="002C43AC"/>
    <w:rsid w:val="002C6C94"/>
    <w:rsid w:val="002D4390"/>
    <w:rsid w:val="002F722F"/>
    <w:rsid w:val="003007F9"/>
    <w:rsid w:val="00312517"/>
    <w:rsid w:val="00316153"/>
    <w:rsid w:val="00317E18"/>
    <w:rsid w:val="00327B2A"/>
    <w:rsid w:val="00346DD9"/>
    <w:rsid w:val="00346E77"/>
    <w:rsid w:val="003505E7"/>
    <w:rsid w:val="003515DF"/>
    <w:rsid w:val="00355147"/>
    <w:rsid w:val="00360417"/>
    <w:rsid w:val="00364555"/>
    <w:rsid w:val="00367DB4"/>
    <w:rsid w:val="00376D6F"/>
    <w:rsid w:val="00386847"/>
    <w:rsid w:val="00391B20"/>
    <w:rsid w:val="003939CB"/>
    <w:rsid w:val="003A14D6"/>
    <w:rsid w:val="003C24E6"/>
    <w:rsid w:val="003D0719"/>
    <w:rsid w:val="003D4BC2"/>
    <w:rsid w:val="003E6095"/>
    <w:rsid w:val="004010A3"/>
    <w:rsid w:val="00407543"/>
    <w:rsid w:val="0041194A"/>
    <w:rsid w:val="004161F0"/>
    <w:rsid w:val="00490EED"/>
    <w:rsid w:val="004B458B"/>
    <w:rsid w:val="004B46CC"/>
    <w:rsid w:val="004C1D7E"/>
    <w:rsid w:val="004C297A"/>
    <w:rsid w:val="004C3FDC"/>
    <w:rsid w:val="004D2D9D"/>
    <w:rsid w:val="004E1669"/>
    <w:rsid w:val="004F0E60"/>
    <w:rsid w:val="0051249F"/>
    <w:rsid w:val="00521AE6"/>
    <w:rsid w:val="00531AC3"/>
    <w:rsid w:val="00532762"/>
    <w:rsid w:val="00535DD6"/>
    <w:rsid w:val="0053622F"/>
    <w:rsid w:val="00537699"/>
    <w:rsid w:val="00544E0F"/>
    <w:rsid w:val="00556B0C"/>
    <w:rsid w:val="00560324"/>
    <w:rsid w:val="00561579"/>
    <w:rsid w:val="00564E3F"/>
    <w:rsid w:val="005669DB"/>
    <w:rsid w:val="0057032C"/>
    <w:rsid w:val="005806D4"/>
    <w:rsid w:val="00586619"/>
    <w:rsid w:val="005B236C"/>
    <w:rsid w:val="005D046B"/>
    <w:rsid w:val="005D247A"/>
    <w:rsid w:val="005D4830"/>
    <w:rsid w:val="005E0E58"/>
    <w:rsid w:val="00607A33"/>
    <w:rsid w:val="00621083"/>
    <w:rsid w:val="006525C2"/>
    <w:rsid w:val="00664A75"/>
    <w:rsid w:val="00673063"/>
    <w:rsid w:val="00681B19"/>
    <w:rsid w:val="00683394"/>
    <w:rsid w:val="006A3A75"/>
    <w:rsid w:val="006B6EAB"/>
    <w:rsid w:val="006D0DAC"/>
    <w:rsid w:val="006D312D"/>
    <w:rsid w:val="006D5835"/>
    <w:rsid w:val="006E34BF"/>
    <w:rsid w:val="006F7DAE"/>
    <w:rsid w:val="00710820"/>
    <w:rsid w:val="0071583A"/>
    <w:rsid w:val="00716C68"/>
    <w:rsid w:val="00722DAC"/>
    <w:rsid w:val="00740F43"/>
    <w:rsid w:val="007901F8"/>
    <w:rsid w:val="0079075D"/>
    <w:rsid w:val="007A7E03"/>
    <w:rsid w:val="007B258B"/>
    <w:rsid w:val="007C44E1"/>
    <w:rsid w:val="007F078D"/>
    <w:rsid w:val="0080068C"/>
    <w:rsid w:val="00857BD0"/>
    <w:rsid w:val="008737C6"/>
    <w:rsid w:val="00883EC7"/>
    <w:rsid w:val="0088583A"/>
    <w:rsid w:val="00891F19"/>
    <w:rsid w:val="0089515B"/>
    <w:rsid w:val="00896109"/>
    <w:rsid w:val="008A3684"/>
    <w:rsid w:val="008A68E7"/>
    <w:rsid w:val="008B01A3"/>
    <w:rsid w:val="008C5B2E"/>
    <w:rsid w:val="008D14D2"/>
    <w:rsid w:val="008F1B17"/>
    <w:rsid w:val="008F4714"/>
    <w:rsid w:val="008F5C42"/>
    <w:rsid w:val="00913653"/>
    <w:rsid w:val="009409FD"/>
    <w:rsid w:val="00950BA9"/>
    <w:rsid w:val="00953C85"/>
    <w:rsid w:val="00961194"/>
    <w:rsid w:val="00965A5F"/>
    <w:rsid w:val="009829F4"/>
    <w:rsid w:val="009A5DF7"/>
    <w:rsid w:val="009B6600"/>
    <w:rsid w:val="009D3BC5"/>
    <w:rsid w:val="009F16A7"/>
    <w:rsid w:val="00A0269C"/>
    <w:rsid w:val="00A06E2E"/>
    <w:rsid w:val="00A12729"/>
    <w:rsid w:val="00A173E1"/>
    <w:rsid w:val="00A26F55"/>
    <w:rsid w:val="00A43784"/>
    <w:rsid w:val="00A5333E"/>
    <w:rsid w:val="00A67329"/>
    <w:rsid w:val="00A72A62"/>
    <w:rsid w:val="00A74936"/>
    <w:rsid w:val="00A76C57"/>
    <w:rsid w:val="00A831E4"/>
    <w:rsid w:val="00A869F8"/>
    <w:rsid w:val="00A91518"/>
    <w:rsid w:val="00A9190E"/>
    <w:rsid w:val="00AA124E"/>
    <w:rsid w:val="00AB2F13"/>
    <w:rsid w:val="00AB33BB"/>
    <w:rsid w:val="00AB65A9"/>
    <w:rsid w:val="00AC6D6B"/>
    <w:rsid w:val="00AE795C"/>
    <w:rsid w:val="00AF2184"/>
    <w:rsid w:val="00B02185"/>
    <w:rsid w:val="00B0616F"/>
    <w:rsid w:val="00B10A43"/>
    <w:rsid w:val="00B12FCA"/>
    <w:rsid w:val="00B21320"/>
    <w:rsid w:val="00B4127C"/>
    <w:rsid w:val="00B42B5D"/>
    <w:rsid w:val="00B43635"/>
    <w:rsid w:val="00B5345C"/>
    <w:rsid w:val="00B570A1"/>
    <w:rsid w:val="00B61B5C"/>
    <w:rsid w:val="00B716BD"/>
    <w:rsid w:val="00B748F6"/>
    <w:rsid w:val="00BA42D8"/>
    <w:rsid w:val="00BB7A2A"/>
    <w:rsid w:val="00BC1F26"/>
    <w:rsid w:val="00BE47A0"/>
    <w:rsid w:val="00BE7570"/>
    <w:rsid w:val="00BF16D9"/>
    <w:rsid w:val="00C13790"/>
    <w:rsid w:val="00C210E2"/>
    <w:rsid w:val="00C25454"/>
    <w:rsid w:val="00C347E6"/>
    <w:rsid w:val="00C40A71"/>
    <w:rsid w:val="00C43A6B"/>
    <w:rsid w:val="00C441D0"/>
    <w:rsid w:val="00C80A35"/>
    <w:rsid w:val="00C9292E"/>
    <w:rsid w:val="00CA24FC"/>
    <w:rsid w:val="00CB606F"/>
    <w:rsid w:val="00CD0CDB"/>
    <w:rsid w:val="00CD2421"/>
    <w:rsid w:val="00CD5D41"/>
    <w:rsid w:val="00CE09F6"/>
    <w:rsid w:val="00CE6904"/>
    <w:rsid w:val="00CF0B41"/>
    <w:rsid w:val="00CF0EFE"/>
    <w:rsid w:val="00CF1CAC"/>
    <w:rsid w:val="00D038E8"/>
    <w:rsid w:val="00D1539A"/>
    <w:rsid w:val="00D2324E"/>
    <w:rsid w:val="00D24467"/>
    <w:rsid w:val="00D24DE2"/>
    <w:rsid w:val="00D3305E"/>
    <w:rsid w:val="00D40DDE"/>
    <w:rsid w:val="00D429F9"/>
    <w:rsid w:val="00D52732"/>
    <w:rsid w:val="00D5798D"/>
    <w:rsid w:val="00D844C5"/>
    <w:rsid w:val="00D846AB"/>
    <w:rsid w:val="00D8491B"/>
    <w:rsid w:val="00D94AA7"/>
    <w:rsid w:val="00DA6CE6"/>
    <w:rsid w:val="00DB5D7D"/>
    <w:rsid w:val="00DC1EF2"/>
    <w:rsid w:val="00DC2259"/>
    <w:rsid w:val="00DD077C"/>
    <w:rsid w:val="00DD35B2"/>
    <w:rsid w:val="00DF64CD"/>
    <w:rsid w:val="00DF6FDA"/>
    <w:rsid w:val="00E01883"/>
    <w:rsid w:val="00E06E57"/>
    <w:rsid w:val="00E10FD5"/>
    <w:rsid w:val="00E2355E"/>
    <w:rsid w:val="00E249B8"/>
    <w:rsid w:val="00E30861"/>
    <w:rsid w:val="00E37D6D"/>
    <w:rsid w:val="00E43EFF"/>
    <w:rsid w:val="00E60B38"/>
    <w:rsid w:val="00E65365"/>
    <w:rsid w:val="00E73AB5"/>
    <w:rsid w:val="00E803EE"/>
    <w:rsid w:val="00E8145A"/>
    <w:rsid w:val="00E8181A"/>
    <w:rsid w:val="00E82902"/>
    <w:rsid w:val="00E863D3"/>
    <w:rsid w:val="00E95265"/>
    <w:rsid w:val="00EB2A9E"/>
    <w:rsid w:val="00EB6583"/>
    <w:rsid w:val="00EC63C9"/>
    <w:rsid w:val="00ED3FDA"/>
    <w:rsid w:val="00ED4EE9"/>
    <w:rsid w:val="00ED54A6"/>
    <w:rsid w:val="00EE18A3"/>
    <w:rsid w:val="00EE44DE"/>
    <w:rsid w:val="00EE7A28"/>
    <w:rsid w:val="00EF1030"/>
    <w:rsid w:val="00EF3D57"/>
    <w:rsid w:val="00F0103B"/>
    <w:rsid w:val="00F04092"/>
    <w:rsid w:val="00F04534"/>
    <w:rsid w:val="00F155EE"/>
    <w:rsid w:val="00F31104"/>
    <w:rsid w:val="00F3423E"/>
    <w:rsid w:val="00F37FD8"/>
    <w:rsid w:val="00F4679A"/>
    <w:rsid w:val="00F47406"/>
    <w:rsid w:val="00F671EE"/>
    <w:rsid w:val="00F70C64"/>
    <w:rsid w:val="00F82BDB"/>
    <w:rsid w:val="00F8530D"/>
    <w:rsid w:val="00FA06BD"/>
    <w:rsid w:val="00FA547E"/>
    <w:rsid w:val="00FB5A81"/>
    <w:rsid w:val="00FF3C25"/>
    <w:rsid w:val="00FF5C3A"/>
    <w:rsid w:val="501B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hAnsi="Arial" w:eastAsia="Times New Roman" w:cs="Angsana New"/>
      <w:kern w:val="0"/>
      <w:sz w:val="18"/>
      <w:szCs w:val="18"/>
      <w:lang w:val="en-US" w:eastAsia="en-US" w:bidi="th-TH"/>
      <w14:ligatures w14:val="none"/>
    </w:rPr>
  </w:style>
  <w:style w:type="paragraph" w:styleId="2">
    <w:name w:val="heading 5"/>
    <w:basedOn w:val="1"/>
    <w:next w:val="1"/>
    <w:link w:val="9"/>
    <w:qFormat/>
    <w:uiPriority w:val="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iPriority w:val="99"/>
    <w:pPr>
      <w:tabs>
        <w:tab w:val="center" w:pos="4536"/>
        <w:tab w:val="right" w:pos="9072"/>
      </w:tabs>
    </w:pPr>
  </w:style>
  <w:style w:type="paragraph" w:styleId="6">
    <w:name w:val="header"/>
    <w:basedOn w:val="1"/>
    <w:link w:val="15"/>
    <w:unhideWhenUsed/>
    <w:uiPriority w:val="99"/>
    <w:pPr>
      <w:tabs>
        <w:tab w:val="center" w:pos="4680"/>
        <w:tab w:val="right" w:pos="9360"/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szCs w:val="22"/>
    </w:rPr>
  </w:style>
  <w:style w:type="paragraph" w:styleId="7">
    <w:name w:val="macro"/>
    <w:link w:val="13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hAnsi="EucrosiaUPC" w:eastAsia="Times New Roman" w:cs="EucrosiaUPC"/>
      <w:kern w:val="0"/>
      <w:sz w:val="28"/>
      <w:szCs w:val="28"/>
      <w:lang w:val="en-US" w:eastAsia="zh-CN" w:bidi="th-TH"/>
      <w14:ligatures w14:val="none"/>
    </w:rPr>
  </w:style>
  <w:style w:type="character" w:styleId="8">
    <w:name w:val="page number"/>
    <w:basedOn w:val="3"/>
    <w:uiPriority w:val="0"/>
  </w:style>
  <w:style w:type="character" w:customStyle="1" w:styleId="9">
    <w:name w:val="Heading 5 Char"/>
    <w:basedOn w:val="3"/>
    <w:link w:val="2"/>
    <w:uiPriority w:val="0"/>
    <w:rPr>
      <w:rFonts w:ascii="Times New Roman" w:hAnsi="Times New Roman" w:eastAsia="Times New Roman" w:cs="Angsana New"/>
      <w:b/>
      <w:bCs/>
      <w:kern w:val="0"/>
      <w:sz w:val="32"/>
      <w:szCs w:val="32"/>
      <w14:ligatures w14:val="none"/>
    </w:rPr>
  </w:style>
  <w:style w:type="character" w:customStyle="1" w:styleId="10">
    <w:name w:val="Footer Char"/>
    <w:basedOn w:val="3"/>
    <w:link w:val="5"/>
    <w:uiPriority w:val="99"/>
    <w:rPr>
      <w:rFonts w:ascii="Arial" w:hAnsi="Arial" w:eastAsia="Times New Roman" w:cs="Angsana New"/>
      <w:kern w:val="0"/>
      <w:sz w:val="18"/>
      <w:szCs w:val="18"/>
      <w14:ligatures w14:val="none"/>
    </w:rPr>
  </w:style>
  <w:style w:type="paragraph" w:customStyle="1" w:styleId="11">
    <w:name w:val="Å§ª×Í T"/>
    <w:basedOn w:val="1"/>
    <w:uiPriority w:val="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12">
    <w:name w:val="No Spacing"/>
    <w:qFormat/>
    <w:uiPriority w:val="1"/>
    <w:pPr>
      <w:spacing w:after="0" w:line="240" w:lineRule="auto"/>
    </w:pPr>
    <w:rPr>
      <w:rFonts w:ascii="Calibri" w:hAnsi="Calibri" w:eastAsia="Calibri" w:cs="Cordia New"/>
      <w:kern w:val="0"/>
      <w:sz w:val="22"/>
      <w:szCs w:val="28"/>
      <w:lang w:val="en-US" w:eastAsia="en-US" w:bidi="th-TH"/>
      <w14:ligatures w14:val="none"/>
    </w:rPr>
  </w:style>
  <w:style w:type="character" w:customStyle="1" w:styleId="13">
    <w:name w:val="Macro Text Char"/>
    <w:basedOn w:val="3"/>
    <w:link w:val="7"/>
    <w:uiPriority w:val="0"/>
    <w:rPr>
      <w:rFonts w:ascii="EucrosiaUPC" w:hAnsi="EucrosiaUPC" w:eastAsia="Times New Roman" w:cs="EucrosiaUPC"/>
      <w:kern w:val="0"/>
      <w:sz w:val="28"/>
      <w:lang w:eastAsia="zh-CN"/>
      <w14:ligatures w14:val="none"/>
    </w:rPr>
  </w:style>
  <w:style w:type="paragraph" w:styleId="14">
    <w:name w:val="List Paragraph"/>
    <w:basedOn w:val="1"/>
    <w:qFormat/>
    <w:uiPriority w:val="34"/>
    <w:pPr>
      <w:ind w:left="720"/>
    </w:pPr>
    <w:rPr>
      <w:szCs w:val="22"/>
    </w:rPr>
  </w:style>
  <w:style w:type="character" w:customStyle="1" w:styleId="15">
    <w:name w:val="Header Char"/>
    <w:basedOn w:val="3"/>
    <w:link w:val="6"/>
    <w:uiPriority w:val="99"/>
    <w:rPr>
      <w:rFonts w:ascii="Arial" w:hAnsi="Arial" w:eastAsia="Times New Roman" w:cs="Angsana New"/>
      <w:kern w:val="0"/>
      <w:sz w:val="18"/>
      <w:szCs w:val="22"/>
      <w14:ligatures w14:val="none"/>
    </w:rPr>
  </w:style>
  <w:style w:type="paragraph" w:customStyle="1" w:styleId="16">
    <w:name w:val="Defaul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hAnsi="Calibri" w:eastAsia="Times New Roman" w:cs="EucrosiaUPC"/>
      <w:color w:val="000000"/>
      <w:kern w:val="0"/>
      <w:sz w:val="24"/>
      <w:szCs w:val="24"/>
      <w:lang w:val="en-US" w:eastAsia="en-US" w:bidi="th-TH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2299</Words>
  <Characters>13107</Characters>
  <Lines>109</Lines>
  <Paragraphs>30</Paragraphs>
  <TotalTime>32</TotalTime>
  <ScaleCrop>false</ScaleCrop>
  <LinksUpToDate>false</LinksUpToDate>
  <CharactersWithSpaces>15376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2026-02-26T06:18:00Z</dcterms:created>
  <dc:creator>Warut Tirasateankul</dc:creator>
  <cp:lastModifiedBy>Patreerat Kangduang</cp:lastModifiedBy>
  <cp:lastPrinted>2026-02-27T03:30:00Z</cp:lastPrinted>
  <dcterms:modified xsi:type="dcterms:W3CDTF">2026-03-01T03:06:30Z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97b29a51-b5bb-4808-8d8f-ec434c24f267</vt:lpwstr>
  </property>
  <property fmtid="{D5CDD505-2E9C-101B-9397-08002B2CF9AE}" pid="3" name="KSOProductBuildVer">
    <vt:lpwstr>1033-12.2.0.22549</vt:lpwstr>
  </property>
  <property fmtid="{D5CDD505-2E9C-101B-9397-08002B2CF9AE}" pid="4" name="ICV">
    <vt:lpwstr>2F4A643A7D734F92B0EC219F778648D5_12</vt:lpwstr>
  </property>
</Properties>
</file>