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42FAF" w14:textId="77777777" w:rsidR="00C424D4" w:rsidRPr="00BC3E86" w:rsidRDefault="00C424D4" w:rsidP="00C424D4">
      <w:pPr>
        <w:pStyle w:val="BodyText"/>
        <w:spacing w:after="0" w:line="360" w:lineRule="auto"/>
        <w:jc w:val="thaiDistribute"/>
        <w:rPr>
          <w:rFonts w:ascii="Arial" w:hAnsi="Arial"/>
          <w:b/>
          <w:bCs/>
          <w:sz w:val="20"/>
        </w:rPr>
      </w:pPr>
      <w:r w:rsidRPr="00BC3E86">
        <w:rPr>
          <w:rFonts w:ascii="Arial" w:hAnsi="Arial"/>
          <w:b/>
          <w:bCs/>
          <w:sz w:val="20"/>
        </w:rPr>
        <w:t xml:space="preserve">To the Shareholders of </w:t>
      </w:r>
      <w:r w:rsidRPr="00BC3E86">
        <w:rPr>
          <w:rFonts w:ascii="Arial" w:hAnsi="Arial"/>
          <w:b/>
          <w:bCs/>
          <w:spacing w:val="-2"/>
          <w:sz w:val="20"/>
        </w:rPr>
        <w:t>Tong Hua Holding Public Company Limited</w:t>
      </w:r>
    </w:p>
    <w:p w14:paraId="474A72C4" w14:textId="77777777" w:rsidR="00030AF1" w:rsidRPr="00BC3E86" w:rsidRDefault="00030AF1" w:rsidP="00030AF1">
      <w:pPr>
        <w:pStyle w:val="BodyText"/>
        <w:spacing w:after="0" w:line="360" w:lineRule="auto"/>
        <w:jc w:val="thaiDistribute"/>
        <w:rPr>
          <w:rFonts w:ascii="Arial" w:hAnsi="Arial"/>
          <w:sz w:val="20"/>
        </w:rPr>
      </w:pPr>
    </w:p>
    <w:p w14:paraId="0E219735" w14:textId="77777777" w:rsidR="00030AF1" w:rsidRPr="00BC3E86" w:rsidRDefault="00030AF1" w:rsidP="00030AF1">
      <w:pPr>
        <w:pStyle w:val="BodyText"/>
        <w:spacing w:after="0" w:line="360" w:lineRule="auto"/>
        <w:jc w:val="thaiDistribute"/>
        <w:rPr>
          <w:rFonts w:ascii="Arial" w:hAnsi="Arial"/>
          <w:i/>
          <w:iCs/>
          <w:sz w:val="20"/>
        </w:rPr>
      </w:pPr>
      <w:r w:rsidRPr="00BC3E86">
        <w:rPr>
          <w:rFonts w:ascii="Arial" w:hAnsi="Arial"/>
          <w:i/>
          <w:iCs/>
          <w:sz w:val="20"/>
        </w:rPr>
        <w:t>Opinion</w:t>
      </w:r>
    </w:p>
    <w:p w14:paraId="39B2831A" w14:textId="77777777" w:rsidR="00030AF1" w:rsidRPr="00BC3E86" w:rsidRDefault="00030AF1" w:rsidP="00030AF1">
      <w:pPr>
        <w:pStyle w:val="BodyText"/>
        <w:spacing w:after="0" w:line="360" w:lineRule="auto"/>
        <w:jc w:val="thaiDistribute"/>
        <w:rPr>
          <w:rFonts w:ascii="Arial" w:hAnsi="Arial"/>
          <w:sz w:val="16"/>
          <w:szCs w:val="16"/>
        </w:rPr>
      </w:pPr>
    </w:p>
    <w:p w14:paraId="105C54CA" w14:textId="3432152D" w:rsidR="00030AF1" w:rsidRPr="00BC3E86" w:rsidRDefault="00030AF1" w:rsidP="00030AF1">
      <w:pPr>
        <w:pStyle w:val="BodyText"/>
        <w:spacing w:after="0" w:line="360" w:lineRule="auto"/>
        <w:jc w:val="thaiDistribute"/>
        <w:rPr>
          <w:rFonts w:ascii="Arial" w:hAnsi="Arial"/>
          <w:sz w:val="20"/>
        </w:rPr>
      </w:pPr>
      <w:r w:rsidRPr="00BC3E86">
        <w:rPr>
          <w:rFonts w:ascii="Arial" w:hAnsi="Arial"/>
          <w:sz w:val="20"/>
        </w:rPr>
        <w:t xml:space="preserve">I have audited the consolidated and separate financial statements of </w:t>
      </w:r>
      <w:r w:rsidR="00C424D4" w:rsidRPr="00BC3E86">
        <w:rPr>
          <w:rFonts w:ascii="Arial" w:hAnsi="Arial"/>
          <w:sz w:val="20"/>
        </w:rPr>
        <w:t>Tong Hua Holding</w:t>
      </w:r>
      <w:r w:rsidRPr="00BC3E86">
        <w:rPr>
          <w:rFonts w:ascii="Arial" w:hAnsi="Arial"/>
          <w:sz w:val="20"/>
        </w:rPr>
        <w:t xml:space="preserve"> Public</w:t>
      </w:r>
      <w:r w:rsidRPr="00BC3E86">
        <w:rPr>
          <w:rFonts w:ascii="Arial" w:hAnsi="Arial"/>
          <w:spacing w:val="-2"/>
          <w:sz w:val="20"/>
        </w:rPr>
        <w:t xml:space="preserve"> Company </w:t>
      </w:r>
      <w:r w:rsidRPr="00BC3E86">
        <w:rPr>
          <w:rFonts w:ascii="Arial" w:hAnsi="Arial"/>
          <w:spacing w:val="-4"/>
          <w:sz w:val="20"/>
        </w:rPr>
        <w:t>Limited and its subsidiaries (</w:t>
      </w:r>
      <w:r w:rsidRPr="00BC3E86">
        <w:rPr>
          <w:rFonts w:ascii="Arial" w:hAnsi="Arial"/>
          <w:spacing w:val="-4"/>
          <w:sz w:val="20"/>
          <w:lang w:val="en-US" w:bidi="th-TH"/>
        </w:rPr>
        <w:t>“the Group”)</w:t>
      </w:r>
      <w:r w:rsidRPr="00BC3E86">
        <w:rPr>
          <w:rFonts w:ascii="Arial" w:hAnsi="Arial"/>
          <w:spacing w:val="-4"/>
          <w:sz w:val="20"/>
        </w:rPr>
        <w:t xml:space="preserve">, </w:t>
      </w:r>
      <w:r w:rsidR="007A7F7E" w:rsidRPr="00BC3E86">
        <w:rPr>
          <w:rFonts w:ascii="Arial" w:hAnsi="Arial"/>
          <w:spacing w:val="-4"/>
          <w:sz w:val="20"/>
        </w:rPr>
        <w:t xml:space="preserve">and of Tong Hua Holding Public Company Limited (the “Company”), respectively, </w:t>
      </w:r>
      <w:r w:rsidRPr="00BC3E86">
        <w:rPr>
          <w:rFonts w:ascii="Arial" w:hAnsi="Arial"/>
          <w:spacing w:val="-4"/>
          <w:sz w:val="20"/>
        </w:rPr>
        <w:t xml:space="preserve">which comprise of the consolidated and separate statements </w:t>
      </w:r>
      <w:r w:rsidRPr="00BC3E86">
        <w:rPr>
          <w:rFonts w:ascii="Arial" w:hAnsi="Arial"/>
          <w:spacing w:val="-8"/>
          <w:sz w:val="20"/>
        </w:rPr>
        <w:t xml:space="preserve">of financial </w:t>
      </w:r>
      <w:r w:rsidRPr="00BC3E86">
        <w:rPr>
          <w:rFonts w:ascii="Arial" w:hAnsi="Arial"/>
          <w:sz w:val="20"/>
        </w:rPr>
        <w:t xml:space="preserve">position as at 31 December 2025, the consolidated and separate statements of comprehensive </w:t>
      </w:r>
      <w:r w:rsidRPr="00BC3E86">
        <w:rPr>
          <w:rFonts w:ascii="Arial" w:hAnsi="Arial"/>
          <w:spacing w:val="-4"/>
          <w:sz w:val="20"/>
        </w:rPr>
        <w:t>income, changes in shareholders’ equity and cash flows for the year then ended, and notes</w:t>
      </w:r>
      <w:r w:rsidR="007A7F7E" w:rsidRPr="00BC3E86">
        <w:rPr>
          <w:rFonts w:ascii="Arial" w:hAnsi="Arial"/>
          <w:spacing w:val="-4"/>
          <w:sz w:val="20"/>
        </w:rPr>
        <w:t>,</w:t>
      </w:r>
      <w:r w:rsidRPr="00BC3E86">
        <w:rPr>
          <w:rFonts w:ascii="Arial" w:hAnsi="Arial"/>
          <w:spacing w:val="-4"/>
          <w:sz w:val="20"/>
        </w:rPr>
        <w:t xml:space="preserve"> </w:t>
      </w:r>
      <w:r w:rsidR="007A7F7E" w:rsidRPr="00BC3E86">
        <w:rPr>
          <w:rFonts w:ascii="Arial" w:hAnsi="Arial"/>
          <w:spacing w:val="-4"/>
          <w:sz w:val="20"/>
        </w:rPr>
        <w:t>compris</w:t>
      </w:r>
      <w:r w:rsidRPr="00BC3E86">
        <w:rPr>
          <w:rFonts w:ascii="Arial" w:hAnsi="Arial"/>
          <w:spacing w:val="-4"/>
          <w:sz w:val="20"/>
        </w:rPr>
        <w:t xml:space="preserve">ing </w:t>
      </w:r>
      <w:r w:rsidRPr="00BC3E86">
        <w:rPr>
          <w:rFonts w:ascii="Arial" w:hAnsi="Arial"/>
          <w:sz w:val="20"/>
        </w:rPr>
        <w:t xml:space="preserve">a summary of significant </w:t>
      </w:r>
      <w:r w:rsidR="007A7F7E" w:rsidRPr="00BC3E86">
        <w:rPr>
          <w:rFonts w:ascii="Arial" w:hAnsi="Arial"/>
          <w:sz w:val="20"/>
        </w:rPr>
        <w:t xml:space="preserve">material </w:t>
      </w:r>
      <w:r w:rsidRPr="00BC3E86">
        <w:rPr>
          <w:rFonts w:ascii="Arial" w:hAnsi="Arial"/>
          <w:sz w:val="20"/>
        </w:rPr>
        <w:t>accounting policies</w:t>
      </w:r>
      <w:r w:rsidR="007A7F7E" w:rsidRPr="00BC3E86">
        <w:rPr>
          <w:rFonts w:ascii="Arial" w:hAnsi="Arial"/>
          <w:sz w:val="20"/>
        </w:rPr>
        <w:t xml:space="preserve"> and other explanatory information</w:t>
      </w:r>
      <w:r w:rsidRPr="00BC3E86">
        <w:rPr>
          <w:rFonts w:ascii="Arial" w:hAnsi="Arial"/>
          <w:sz w:val="20"/>
        </w:rPr>
        <w:t>.</w:t>
      </w:r>
    </w:p>
    <w:p w14:paraId="412D82C7" w14:textId="77777777" w:rsidR="00030AF1" w:rsidRPr="00BC3E86" w:rsidRDefault="00030AF1" w:rsidP="00030AF1">
      <w:pPr>
        <w:pStyle w:val="BodyText"/>
        <w:spacing w:after="0" w:line="360" w:lineRule="auto"/>
        <w:jc w:val="thaiDistribute"/>
        <w:rPr>
          <w:rFonts w:ascii="Arial" w:hAnsi="Arial"/>
          <w:sz w:val="16"/>
          <w:szCs w:val="16"/>
        </w:rPr>
      </w:pPr>
    </w:p>
    <w:p w14:paraId="09FEEB61" w14:textId="101C6ED2" w:rsidR="00030AF1" w:rsidRPr="00BC3E86" w:rsidRDefault="00030AF1" w:rsidP="00030AF1">
      <w:pPr>
        <w:pStyle w:val="BodyText"/>
        <w:spacing w:after="0" w:line="360" w:lineRule="auto"/>
        <w:jc w:val="thaiDistribute"/>
        <w:rPr>
          <w:rFonts w:ascii="Arial" w:hAnsi="Arial"/>
          <w:sz w:val="20"/>
        </w:rPr>
      </w:pPr>
      <w:r w:rsidRPr="00BC3E86">
        <w:rPr>
          <w:rFonts w:ascii="Arial" w:hAnsi="Arial"/>
          <w:sz w:val="20"/>
        </w:rPr>
        <w:t xml:space="preserve">In my opinion, the accompanying consolidated and separate financial statements present fairly, in </w:t>
      </w:r>
      <w:r w:rsidRPr="00BC3E86">
        <w:rPr>
          <w:rFonts w:ascii="Arial" w:hAnsi="Arial"/>
          <w:spacing w:val="-2"/>
          <w:sz w:val="20"/>
        </w:rPr>
        <w:t xml:space="preserve">all material respects, the consolidated and separate financial position </w:t>
      </w:r>
      <w:r w:rsidR="007A7F7E" w:rsidRPr="00BC3E86">
        <w:rPr>
          <w:rFonts w:ascii="Arial" w:hAnsi="Arial"/>
          <w:spacing w:val="-2"/>
          <w:sz w:val="20"/>
        </w:rPr>
        <w:t xml:space="preserve">of the Group and the Company, </w:t>
      </w:r>
      <w:r w:rsidR="007A7F7E" w:rsidRPr="00BC3E86">
        <w:rPr>
          <w:rFonts w:ascii="Arial" w:hAnsi="Arial"/>
          <w:sz w:val="20"/>
        </w:rPr>
        <w:t xml:space="preserve">respectively, </w:t>
      </w:r>
      <w:r w:rsidRPr="00BC3E86">
        <w:rPr>
          <w:rFonts w:ascii="Arial" w:hAnsi="Arial"/>
          <w:sz w:val="20"/>
        </w:rPr>
        <w:t xml:space="preserve">as </w:t>
      </w:r>
      <w:proofErr w:type="gramStart"/>
      <w:r w:rsidRPr="00BC3E86">
        <w:rPr>
          <w:rFonts w:ascii="Arial" w:hAnsi="Arial"/>
          <w:sz w:val="20"/>
        </w:rPr>
        <w:t>at</w:t>
      </w:r>
      <w:proofErr w:type="gramEnd"/>
      <w:r w:rsidRPr="00BC3E86">
        <w:rPr>
          <w:rFonts w:ascii="Arial" w:hAnsi="Arial"/>
          <w:sz w:val="20"/>
        </w:rPr>
        <w:t xml:space="preserve"> 31 December 2025, and its consolidated and separate financial performance and cash flows for the year then ended in accordance with Thai Financial Reporting Standards.</w:t>
      </w:r>
    </w:p>
    <w:p w14:paraId="1398AEF9" w14:textId="77777777" w:rsidR="00030AF1" w:rsidRPr="00BC3E86" w:rsidRDefault="00030AF1" w:rsidP="00030AF1">
      <w:pPr>
        <w:pStyle w:val="BodyText"/>
        <w:spacing w:after="0" w:line="360" w:lineRule="auto"/>
        <w:jc w:val="thaiDistribute"/>
        <w:rPr>
          <w:rFonts w:ascii="Arial" w:hAnsi="Arial"/>
          <w:sz w:val="20"/>
        </w:rPr>
      </w:pPr>
    </w:p>
    <w:p w14:paraId="637D4BEA" w14:textId="77777777" w:rsidR="00030AF1" w:rsidRPr="00BC3E86" w:rsidRDefault="00030AF1" w:rsidP="00030AF1">
      <w:pPr>
        <w:pStyle w:val="BodyText"/>
        <w:spacing w:after="0" w:line="360" w:lineRule="auto"/>
        <w:rPr>
          <w:rFonts w:ascii="Arial" w:hAnsi="Arial"/>
          <w:i/>
          <w:iCs/>
          <w:sz w:val="20"/>
        </w:rPr>
      </w:pPr>
      <w:r w:rsidRPr="00BC3E86">
        <w:rPr>
          <w:rFonts w:ascii="Arial" w:hAnsi="Arial"/>
          <w:i/>
          <w:iCs/>
          <w:sz w:val="20"/>
        </w:rPr>
        <w:t>Basis for Opinion</w:t>
      </w:r>
    </w:p>
    <w:p w14:paraId="58D63875" w14:textId="77777777" w:rsidR="00030AF1" w:rsidRPr="00BC3E86" w:rsidRDefault="00030AF1" w:rsidP="00030AF1">
      <w:pPr>
        <w:pStyle w:val="BodyText"/>
        <w:spacing w:after="0" w:line="360" w:lineRule="auto"/>
        <w:rPr>
          <w:rFonts w:ascii="Arial" w:hAnsi="Arial"/>
          <w:sz w:val="16"/>
          <w:szCs w:val="16"/>
        </w:rPr>
      </w:pPr>
    </w:p>
    <w:p w14:paraId="2D40C249" w14:textId="7BB4D32B" w:rsidR="00030AF1" w:rsidRPr="00BC3E86" w:rsidRDefault="00030AF1" w:rsidP="00030AF1">
      <w:pPr>
        <w:pStyle w:val="BodyText"/>
        <w:spacing w:after="0" w:line="360" w:lineRule="auto"/>
        <w:jc w:val="thaiDistribute"/>
        <w:rPr>
          <w:rFonts w:ascii="Arial" w:hAnsi="Arial"/>
          <w:i/>
          <w:iCs/>
          <w:sz w:val="20"/>
        </w:rPr>
      </w:pPr>
      <w:r w:rsidRPr="00BC3E86">
        <w:rPr>
          <w:rFonts w:ascii="Arial" w:hAnsi="Arial"/>
          <w:spacing w:val="-2"/>
          <w:sz w:val="20"/>
        </w:rPr>
        <w:t>I conducted my audit in accordance with Thai Standards on Auditing. My responsibilities under</w:t>
      </w:r>
      <w:r w:rsidRPr="00BC3E86">
        <w:rPr>
          <w:rFonts w:ascii="Arial" w:hAnsi="Arial"/>
          <w:sz w:val="20"/>
        </w:rPr>
        <w:t xml:space="preserve"> those </w:t>
      </w:r>
      <w:r w:rsidRPr="00BC3E86">
        <w:rPr>
          <w:rFonts w:ascii="Arial" w:hAnsi="Arial"/>
          <w:spacing w:val="-2"/>
          <w:sz w:val="20"/>
        </w:rPr>
        <w:t xml:space="preserve">standards are further described in the Auditor’s Responsibilities for the Audit of the consolidated and separate </w:t>
      </w:r>
      <w:r w:rsidR="00C424D4" w:rsidRPr="00BC3E86">
        <w:rPr>
          <w:rFonts w:ascii="Arial" w:hAnsi="Arial"/>
          <w:spacing w:val="-2"/>
          <w:sz w:val="20"/>
        </w:rPr>
        <w:t>financial</w:t>
      </w:r>
      <w:r w:rsidRPr="00BC3E86">
        <w:rPr>
          <w:rFonts w:ascii="Arial" w:hAnsi="Arial"/>
          <w:spacing w:val="-2"/>
          <w:sz w:val="20"/>
        </w:rPr>
        <w:t xml:space="preserve"> statements section of my report. I am independent of the Group </w:t>
      </w:r>
      <w:r w:rsidR="007A7F7E" w:rsidRPr="00BC3E86">
        <w:rPr>
          <w:rFonts w:ascii="Arial" w:hAnsi="Arial"/>
          <w:spacing w:val="-2"/>
          <w:sz w:val="20"/>
          <w:szCs w:val="25"/>
          <w:lang w:val="en-US" w:bidi="th-TH"/>
        </w:rPr>
        <w:t>and the Company</w:t>
      </w:r>
      <w:r w:rsidR="007A7F7E" w:rsidRPr="00BC3E86">
        <w:rPr>
          <w:rFonts w:ascii="Arial" w:hAnsi="Arial"/>
          <w:spacing w:val="-4"/>
          <w:sz w:val="20"/>
          <w:szCs w:val="25"/>
          <w:lang w:val="en-US" w:bidi="th-TH"/>
        </w:rPr>
        <w:t xml:space="preserve"> </w:t>
      </w:r>
      <w:r w:rsidR="007A7F7E" w:rsidRPr="00BC3E86">
        <w:rPr>
          <w:rFonts w:ascii="Arial" w:hAnsi="Arial"/>
          <w:spacing w:val="-4"/>
          <w:sz w:val="20"/>
        </w:rPr>
        <w:t xml:space="preserve"> </w:t>
      </w:r>
      <w:r w:rsidRPr="00BC3E86">
        <w:rPr>
          <w:rFonts w:ascii="Arial" w:hAnsi="Arial"/>
          <w:spacing w:val="-4"/>
          <w:sz w:val="20"/>
        </w:rPr>
        <w:t>in accordance with the Code of Ethics for Professional Accountants including Independence</w:t>
      </w:r>
      <w:r w:rsidRPr="00BC3E86">
        <w:rPr>
          <w:rFonts w:ascii="Arial" w:hAnsi="Arial"/>
          <w:sz w:val="20"/>
        </w:rPr>
        <w:t xml:space="preserve"> Standards issued by the Federation of Accounting Professions (Code of Ethics for Professional Accountants) that are relevant to my audit of the</w:t>
      </w:r>
      <w:r w:rsidRPr="00BC3E86">
        <w:rPr>
          <w:rFonts w:ascii="Arial" w:hAnsi="Arial"/>
          <w:sz w:val="20"/>
          <w:cs/>
          <w:lang w:bidi="th-TH"/>
        </w:rPr>
        <w:t xml:space="preserve"> </w:t>
      </w:r>
      <w:r w:rsidRPr="00BC3E86">
        <w:rPr>
          <w:rFonts w:ascii="Arial" w:hAnsi="Arial"/>
          <w:sz w:val="20"/>
        </w:rPr>
        <w:t>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4DC4B37" w14:textId="4894632B" w:rsidR="00030AF1" w:rsidRPr="00BC3E86" w:rsidRDefault="00030AF1" w:rsidP="00030AF1">
      <w:pPr>
        <w:pStyle w:val="BodyText"/>
        <w:spacing w:after="0" w:line="360" w:lineRule="auto"/>
        <w:jc w:val="thaiDistribute"/>
        <w:rPr>
          <w:rFonts w:ascii="Arial" w:hAnsi="Arial"/>
          <w:sz w:val="20"/>
          <w:szCs w:val="25"/>
          <w:lang w:bidi="th-TH"/>
        </w:rPr>
      </w:pPr>
    </w:p>
    <w:p w14:paraId="4C52C8A8" w14:textId="77777777" w:rsidR="00030AF1" w:rsidRPr="00BC3E86" w:rsidRDefault="00030AF1" w:rsidP="00030AF1">
      <w:pPr>
        <w:pStyle w:val="BodyText"/>
        <w:spacing w:after="0" w:line="360" w:lineRule="auto"/>
        <w:jc w:val="thaiDistribute"/>
        <w:rPr>
          <w:rFonts w:ascii="Arial" w:hAnsi="Arial"/>
          <w:i/>
          <w:iCs/>
          <w:sz w:val="20"/>
        </w:rPr>
        <w:sectPr w:rsidR="00030AF1" w:rsidRPr="00BC3E86" w:rsidSect="00271B08">
          <w:headerReference w:type="default" r:id="rId11"/>
          <w:pgSz w:w="11907" w:h="16840" w:code="9"/>
          <w:pgMar w:top="1872" w:right="1008" w:bottom="720" w:left="2304" w:header="677" w:footer="461" w:gutter="0"/>
          <w:pgNumType w:start="1"/>
          <w:cols w:space="708"/>
          <w:docGrid w:linePitch="360"/>
        </w:sectPr>
      </w:pPr>
    </w:p>
    <w:p w14:paraId="17C422F7" w14:textId="77777777" w:rsidR="00C424D4" w:rsidRPr="00BC3E86" w:rsidRDefault="00C424D4" w:rsidP="00C424D4">
      <w:pPr>
        <w:pStyle w:val="BodyText"/>
        <w:spacing w:after="0" w:line="360" w:lineRule="auto"/>
        <w:jc w:val="thaiDistribute"/>
        <w:rPr>
          <w:rFonts w:ascii="Arial" w:hAnsi="Arial"/>
          <w:i/>
          <w:iCs/>
          <w:sz w:val="20"/>
        </w:rPr>
      </w:pPr>
      <w:r w:rsidRPr="00BC3E86">
        <w:rPr>
          <w:rFonts w:ascii="Arial" w:hAnsi="Arial"/>
          <w:i/>
          <w:iCs/>
          <w:sz w:val="20"/>
        </w:rPr>
        <w:lastRenderedPageBreak/>
        <w:t>Emphasis of Matter</w:t>
      </w:r>
    </w:p>
    <w:p w14:paraId="5A7E27D5" w14:textId="77777777" w:rsidR="00C424D4" w:rsidRPr="00BC3E86" w:rsidRDefault="00C424D4" w:rsidP="00C424D4">
      <w:pPr>
        <w:pStyle w:val="BodyText"/>
        <w:spacing w:after="0" w:line="360" w:lineRule="auto"/>
        <w:jc w:val="thaiDistribute"/>
        <w:rPr>
          <w:rFonts w:ascii="Arial" w:hAnsi="Arial"/>
          <w:sz w:val="12"/>
          <w:szCs w:val="12"/>
        </w:rPr>
      </w:pPr>
    </w:p>
    <w:p w14:paraId="34CB08DF" w14:textId="3C2B8149" w:rsidR="00C424D4" w:rsidRPr="00BC3E86" w:rsidRDefault="00C424D4" w:rsidP="00C424D4">
      <w:pPr>
        <w:autoSpaceDE w:val="0"/>
        <w:autoSpaceDN w:val="0"/>
        <w:adjustRightInd w:val="0"/>
        <w:spacing w:after="0" w:line="360" w:lineRule="auto"/>
        <w:jc w:val="thaiDistribute"/>
        <w:rPr>
          <w:rFonts w:ascii="Arial" w:hAnsi="Arial"/>
          <w:sz w:val="20"/>
        </w:rPr>
      </w:pPr>
      <w:r w:rsidRPr="00BC3E86">
        <w:rPr>
          <w:rFonts w:ascii="Arial" w:hAnsi="Arial"/>
          <w:spacing w:val="-4"/>
          <w:sz w:val="20"/>
        </w:rPr>
        <w:t xml:space="preserve">I draw attention to </w:t>
      </w:r>
      <w:r w:rsidR="00D52363" w:rsidRPr="00BC3E86">
        <w:rPr>
          <w:rFonts w:ascii="Arial" w:hAnsi="Arial"/>
          <w:spacing w:val="-4"/>
          <w:sz w:val="20"/>
        </w:rPr>
        <w:t xml:space="preserve">an issue that cash deposits of two subsidiaries from sales of investments in shares of a listed company have been seized by the Anti-Money Laundering Office and the Group has set up allowance for contingent loss on entire amount of cash deposit seized as described in Note 6.5 to the </w:t>
      </w:r>
      <w:r w:rsidR="00D52363" w:rsidRPr="00BC3E86">
        <w:rPr>
          <w:rFonts w:ascii="Arial" w:hAnsi="Arial"/>
          <w:sz w:val="20"/>
        </w:rPr>
        <w:t>financial statements for which I do not qualify my reporting conclusion in respect of this matter.</w:t>
      </w:r>
    </w:p>
    <w:p w14:paraId="5B1D8D57" w14:textId="0B5E66D9" w:rsidR="00C424D4" w:rsidRPr="00BC3E86" w:rsidRDefault="00C424D4" w:rsidP="00271B08">
      <w:pPr>
        <w:pStyle w:val="BodyText"/>
        <w:spacing w:after="0" w:line="360" w:lineRule="auto"/>
        <w:jc w:val="thaiDistribute"/>
        <w:rPr>
          <w:rFonts w:ascii="Arial" w:hAnsi="Arial"/>
          <w:sz w:val="10"/>
          <w:szCs w:val="16"/>
          <w:cs/>
          <w:lang w:bidi="th-TH"/>
        </w:rPr>
      </w:pPr>
    </w:p>
    <w:p w14:paraId="6D93DF79" w14:textId="77777777" w:rsidR="00C424D4" w:rsidRPr="00BC3E86" w:rsidRDefault="00C424D4" w:rsidP="00C424D4">
      <w:pPr>
        <w:pStyle w:val="BodyText"/>
        <w:spacing w:after="0" w:line="360" w:lineRule="auto"/>
        <w:jc w:val="thaiDistribute"/>
        <w:rPr>
          <w:rFonts w:ascii="Arial" w:hAnsi="Arial"/>
          <w:i/>
          <w:iCs/>
          <w:sz w:val="20"/>
        </w:rPr>
      </w:pPr>
      <w:r w:rsidRPr="00BC3E86">
        <w:rPr>
          <w:rFonts w:ascii="Arial" w:hAnsi="Arial"/>
          <w:i/>
          <w:iCs/>
          <w:sz w:val="20"/>
        </w:rPr>
        <w:t>Key audit matters</w:t>
      </w:r>
    </w:p>
    <w:p w14:paraId="5CF125AF" w14:textId="77777777" w:rsidR="00C424D4" w:rsidRPr="00BC3E86" w:rsidRDefault="00C424D4" w:rsidP="00C424D4">
      <w:pPr>
        <w:pStyle w:val="BodyText"/>
        <w:spacing w:after="0" w:line="360" w:lineRule="auto"/>
        <w:jc w:val="thaiDistribute"/>
        <w:rPr>
          <w:rFonts w:ascii="Arial" w:hAnsi="Arial"/>
          <w:sz w:val="12"/>
          <w:szCs w:val="12"/>
        </w:rPr>
      </w:pPr>
    </w:p>
    <w:p w14:paraId="2A3F86D0" w14:textId="77777777" w:rsidR="00C424D4" w:rsidRPr="00BC3E86" w:rsidRDefault="00C424D4" w:rsidP="00C424D4">
      <w:pPr>
        <w:pStyle w:val="BodyText"/>
        <w:spacing w:after="0" w:line="360" w:lineRule="auto"/>
        <w:jc w:val="thaiDistribute"/>
        <w:rPr>
          <w:rFonts w:ascii="Arial" w:hAnsi="Arial"/>
          <w:spacing w:val="-2"/>
          <w:sz w:val="20"/>
        </w:rPr>
      </w:pPr>
      <w:r w:rsidRPr="00BC3E86">
        <w:rPr>
          <w:rFonts w:ascii="Arial" w:hAnsi="Arial"/>
          <w:sz w:val="20"/>
        </w:rPr>
        <w:t>Key audit matters are those matters that, in my professional judgment, were of most significance in</w:t>
      </w:r>
      <w:r w:rsidRPr="00BC3E86">
        <w:rPr>
          <w:rFonts w:ascii="Arial" w:hAnsi="Arial"/>
          <w:spacing w:val="-2"/>
          <w:sz w:val="20"/>
        </w:rPr>
        <w:t xml:space="preserve"> my audit of the consolidated and separate financial statements of the current period. These matters were addressed in the context of my audit of the consolidated and separate financial </w:t>
      </w:r>
      <w:proofErr w:type="gramStart"/>
      <w:r w:rsidRPr="00BC3E86">
        <w:rPr>
          <w:rFonts w:ascii="Arial" w:hAnsi="Arial"/>
          <w:spacing w:val="-2"/>
          <w:sz w:val="20"/>
        </w:rPr>
        <w:t>statements as a whole, and</w:t>
      </w:r>
      <w:proofErr w:type="gramEnd"/>
      <w:r w:rsidRPr="00BC3E86">
        <w:rPr>
          <w:rFonts w:ascii="Arial" w:hAnsi="Arial"/>
          <w:spacing w:val="-2"/>
          <w:sz w:val="20"/>
        </w:rPr>
        <w:t xml:space="preserve"> in forming my opinion thereon, and I do not provide a separate opinion on these matters.</w:t>
      </w:r>
    </w:p>
    <w:p w14:paraId="7D62F5EE" w14:textId="32F2A435" w:rsidR="00271B08" w:rsidRPr="00BC3E86" w:rsidRDefault="00271B08" w:rsidP="00030AF1">
      <w:pPr>
        <w:pStyle w:val="BodyText"/>
        <w:spacing w:after="0" w:line="360" w:lineRule="auto"/>
        <w:jc w:val="thaiDistribute"/>
        <w:rPr>
          <w:rFonts w:ascii="Arial" w:hAnsi="Arial"/>
          <w:sz w:val="16"/>
          <w:szCs w:val="22"/>
          <w:lang w:bidi="th-TH"/>
        </w:rPr>
      </w:pPr>
    </w:p>
    <w:p w14:paraId="0EAB368E" w14:textId="77777777" w:rsidR="00C424D4" w:rsidRPr="00BC3E86" w:rsidRDefault="00C424D4" w:rsidP="00C424D4">
      <w:pPr>
        <w:pStyle w:val="Default"/>
        <w:spacing w:line="360" w:lineRule="auto"/>
        <w:jc w:val="both"/>
        <w:rPr>
          <w:b/>
          <w:bCs/>
          <w:i/>
          <w:iCs/>
          <w:sz w:val="20"/>
          <w:szCs w:val="20"/>
        </w:rPr>
      </w:pPr>
      <w:r w:rsidRPr="00BC3E86">
        <w:rPr>
          <w:b/>
          <w:bCs/>
          <w:i/>
          <w:iCs/>
          <w:sz w:val="20"/>
          <w:szCs w:val="20"/>
        </w:rPr>
        <w:t>Interest income from loans to non-performing assets</w:t>
      </w:r>
    </w:p>
    <w:p w14:paraId="5958AE91" w14:textId="585D6132" w:rsidR="00C424D4" w:rsidRPr="00BC3E86" w:rsidRDefault="00C424D4" w:rsidP="00C424D4">
      <w:pPr>
        <w:pStyle w:val="Default"/>
        <w:spacing w:line="360" w:lineRule="auto"/>
        <w:jc w:val="both"/>
        <w:rPr>
          <w:sz w:val="20"/>
          <w:szCs w:val="20"/>
        </w:rPr>
      </w:pPr>
      <w:r w:rsidRPr="00BC3E86">
        <w:rPr>
          <w:sz w:val="20"/>
          <w:szCs w:val="20"/>
        </w:rPr>
        <w:t>The Group has revenue recognition policy as mentioned in note 2.</w:t>
      </w:r>
      <w:r w:rsidRPr="00BC3E86">
        <w:rPr>
          <w:sz w:val="20"/>
          <w:szCs w:val="25"/>
          <w:lang w:val="en-US" w:bidi="th-TH"/>
        </w:rPr>
        <w:t>7</w:t>
      </w:r>
      <w:r w:rsidRPr="00BC3E86">
        <w:rPr>
          <w:sz w:val="20"/>
          <w:szCs w:val="20"/>
          <w:cs/>
        </w:rPr>
        <w:t xml:space="preserve"> </w:t>
      </w:r>
      <w:r w:rsidRPr="00BC3E86">
        <w:rPr>
          <w:sz w:val="20"/>
          <w:szCs w:val="20"/>
        </w:rPr>
        <w:t xml:space="preserve">to the consolidated financial </w:t>
      </w:r>
      <w:r w:rsidRPr="00BC3E86">
        <w:rPr>
          <w:spacing w:val="2"/>
          <w:sz w:val="20"/>
          <w:szCs w:val="20"/>
        </w:rPr>
        <w:t xml:space="preserve">statements by recognizing interest income from loans to non-performing assets contributed for </w:t>
      </w:r>
      <w:r w:rsidRPr="00BC3E86">
        <w:rPr>
          <w:spacing w:val="-2"/>
          <w:sz w:val="20"/>
          <w:szCs w:val="20"/>
        </w:rPr>
        <w:t>the year 202</w:t>
      </w:r>
      <w:r w:rsidR="00251726" w:rsidRPr="00BC3E86">
        <w:rPr>
          <w:spacing w:val="-2"/>
          <w:sz w:val="20"/>
          <w:szCs w:val="20"/>
        </w:rPr>
        <w:t>5</w:t>
      </w:r>
      <w:r w:rsidRPr="00BC3E86">
        <w:rPr>
          <w:spacing w:val="-2"/>
          <w:sz w:val="20"/>
          <w:szCs w:val="20"/>
        </w:rPr>
        <w:t xml:space="preserve"> at amounting of Baht</w:t>
      </w:r>
      <w:r w:rsidR="00706F74" w:rsidRPr="00BC3E86">
        <w:rPr>
          <w:spacing w:val="-2"/>
          <w:sz w:val="20"/>
          <w:szCs w:val="25"/>
          <w:cs/>
          <w:lang w:bidi="th-TH"/>
        </w:rPr>
        <w:t xml:space="preserve"> </w:t>
      </w:r>
      <w:r w:rsidR="00241656">
        <w:rPr>
          <w:rFonts w:cstheme="minorBidi"/>
          <w:spacing w:val="-2"/>
          <w:sz w:val="20"/>
          <w:szCs w:val="25"/>
          <w:lang w:val="en-US" w:bidi="th-TH"/>
        </w:rPr>
        <w:t>158.08</w:t>
      </w:r>
      <w:r w:rsidR="00706F74" w:rsidRPr="00BC3E86">
        <w:rPr>
          <w:spacing w:val="-2"/>
          <w:sz w:val="20"/>
          <w:szCs w:val="25"/>
          <w:lang w:val="en-US" w:bidi="th-TH"/>
        </w:rPr>
        <w:t xml:space="preserve"> </w:t>
      </w:r>
      <w:r w:rsidRPr="00BC3E86">
        <w:rPr>
          <w:spacing w:val="-2"/>
          <w:sz w:val="20"/>
          <w:szCs w:val="20"/>
        </w:rPr>
        <w:t xml:space="preserve">million at </w:t>
      </w:r>
      <w:r w:rsidR="00E32C8E">
        <w:rPr>
          <w:spacing w:val="-2"/>
          <w:sz w:val="20"/>
          <w:szCs w:val="20"/>
        </w:rPr>
        <w:t>55.57</w:t>
      </w:r>
      <w:r w:rsidRPr="00BC3E86">
        <w:rPr>
          <w:spacing w:val="-2"/>
          <w:sz w:val="20"/>
          <w:szCs w:val="20"/>
        </w:rPr>
        <w:t xml:space="preserve"> to the Group’s total revenues. The Group </w:t>
      </w:r>
      <w:r w:rsidRPr="00BC3E86">
        <w:rPr>
          <w:sz w:val="20"/>
          <w:szCs w:val="20"/>
        </w:rPr>
        <w:t>recognises interest income from loans to non-performing assets based on estimated future cash inflow. This is determined by the quality, type and age of debt, referring to the companies in the same industry</w:t>
      </w:r>
      <w:r w:rsidRPr="00BC3E86">
        <w:rPr>
          <w:sz w:val="20"/>
          <w:szCs w:val="25"/>
          <w:lang w:val="en-US" w:bidi="th-TH"/>
        </w:rPr>
        <w:t xml:space="preserve">, </w:t>
      </w:r>
      <w:r w:rsidRPr="00BC3E86">
        <w:rPr>
          <w:sz w:val="20"/>
          <w:szCs w:val="20"/>
        </w:rPr>
        <w:t xml:space="preserve">historical records of debt collection and current situations to estimate </w:t>
      </w:r>
      <w:r w:rsidRPr="00BC3E86">
        <w:rPr>
          <w:sz w:val="20"/>
          <w:szCs w:val="25"/>
          <w:lang w:val="en-US" w:bidi="th-TH"/>
        </w:rPr>
        <w:t xml:space="preserve">the future </w:t>
      </w:r>
      <w:r w:rsidRPr="00BC3E86">
        <w:rPr>
          <w:sz w:val="20"/>
          <w:szCs w:val="20"/>
        </w:rPr>
        <w:t>debt collection discounted with the effective interest rate.</w:t>
      </w:r>
    </w:p>
    <w:p w14:paraId="3A2DC75E" w14:textId="02327477" w:rsidR="00C424D4" w:rsidRPr="00BC3E86" w:rsidRDefault="00C424D4" w:rsidP="00C424D4">
      <w:pPr>
        <w:pStyle w:val="Default"/>
        <w:spacing w:line="360" w:lineRule="auto"/>
        <w:jc w:val="thaiDistribute"/>
        <w:rPr>
          <w:spacing w:val="-6"/>
          <w:sz w:val="12"/>
          <w:szCs w:val="12"/>
        </w:rPr>
      </w:pPr>
    </w:p>
    <w:p w14:paraId="0946410F" w14:textId="475C3F9A" w:rsidR="00C424D4" w:rsidRPr="00BC3E86" w:rsidRDefault="00C424D4" w:rsidP="00C424D4">
      <w:pPr>
        <w:pStyle w:val="BodyText"/>
        <w:spacing w:after="0" w:line="360" w:lineRule="auto"/>
        <w:jc w:val="thaiDistribute"/>
        <w:rPr>
          <w:rFonts w:ascii="Arial" w:hAnsi="Arial"/>
          <w:spacing w:val="-2"/>
          <w:sz w:val="20"/>
        </w:rPr>
      </w:pPr>
      <w:r w:rsidRPr="00BC3E86">
        <w:rPr>
          <w:rFonts w:ascii="Arial" w:hAnsi="Arial"/>
          <w:spacing w:val="-6"/>
          <w:sz w:val="20"/>
        </w:rPr>
        <w:t xml:space="preserve">I focussed on auditing this area because it required management’s significant judgment when determining </w:t>
      </w:r>
      <w:r w:rsidRPr="00BC3E86">
        <w:rPr>
          <w:rFonts w:ascii="Arial" w:hAnsi="Arial"/>
          <w:spacing w:val="-2"/>
          <w:sz w:val="20"/>
        </w:rPr>
        <w:t>the assumption to estimate revenues, which are material to the consolidated financial statements.</w:t>
      </w:r>
    </w:p>
    <w:p w14:paraId="3900E025" w14:textId="77777777" w:rsidR="002F534C" w:rsidRPr="00BC3E86" w:rsidRDefault="002F534C" w:rsidP="00C424D4">
      <w:pPr>
        <w:pStyle w:val="BodyText"/>
        <w:spacing w:after="0" w:line="360" w:lineRule="auto"/>
        <w:jc w:val="thaiDistribute"/>
        <w:rPr>
          <w:rFonts w:ascii="Arial" w:hAnsi="Arial"/>
          <w:sz w:val="12"/>
          <w:szCs w:val="12"/>
        </w:rPr>
      </w:pPr>
    </w:p>
    <w:p w14:paraId="673AA31B" w14:textId="77777777" w:rsidR="00C424D4" w:rsidRPr="00BC3E86" w:rsidRDefault="00C424D4" w:rsidP="00C424D4">
      <w:pPr>
        <w:pStyle w:val="BodyText"/>
        <w:spacing w:after="0" w:line="360" w:lineRule="auto"/>
        <w:jc w:val="thaiDistribute"/>
        <w:rPr>
          <w:rFonts w:ascii="Arial" w:hAnsi="Arial"/>
          <w:sz w:val="20"/>
        </w:rPr>
      </w:pPr>
      <w:r w:rsidRPr="00BC3E86">
        <w:rPr>
          <w:rFonts w:ascii="Arial" w:hAnsi="Arial"/>
          <w:sz w:val="20"/>
        </w:rPr>
        <w:t xml:space="preserve">I have obtained an assurance in respect of </w:t>
      </w:r>
      <w:r w:rsidRPr="00BC3E86">
        <w:rPr>
          <w:rFonts w:ascii="Arial" w:hAnsi="Arial"/>
          <w:spacing w:val="-6"/>
          <w:sz w:val="20"/>
        </w:rPr>
        <w:t xml:space="preserve">interest </w:t>
      </w:r>
      <w:r w:rsidRPr="00BC3E86">
        <w:rPr>
          <w:rFonts w:ascii="Arial" w:hAnsi="Arial"/>
          <w:spacing w:val="-8"/>
          <w:sz w:val="20"/>
        </w:rPr>
        <w:t>income from loans to non-performing assets</w:t>
      </w:r>
      <w:r w:rsidRPr="00BC3E86">
        <w:rPr>
          <w:rFonts w:ascii="Arial" w:hAnsi="Arial"/>
          <w:sz w:val="20"/>
          <w:cs/>
        </w:rPr>
        <w:t xml:space="preserve"> </w:t>
      </w:r>
      <w:r w:rsidRPr="00BC3E86">
        <w:rPr>
          <w:rFonts w:ascii="Arial" w:hAnsi="Arial"/>
          <w:sz w:val="20"/>
        </w:rPr>
        <w:t>with following auditing procedures:</w:t>
      </w:r>
    </w:p>
    <w:p w14:paraId="4F9027A9" w14:textId="77777777" w:rsidR="00C424D4" w:rsidRPr="00BC3E86" w:rsidRDefault="00C424D4" w:rsidP="00C424D4">
      <w:pPr>
        <w:pStyle w:val="BodyText"/>
        <w:spacing w:after="0" w:line="360" w:lineRule="auto"/>
        <w:jc w:val="thaiDistribute"/>
        <w:rPr>
          <w:rFonts w:ascii="Arial" w:hAnsi="Arial"/>
          <w:sz w:val="4"/>
          <w:szCs w:val="4"/>
        </w:rPr>
      </w:pPr>
    </w:p>
    <w:p w14:paraId="684E6AF7" w14:textId="77777777" w:rsidR="00C424D4" w:rsidRPr="00BC3E86" w:rsidRDefault="00C424D4" w:rsidP="00C424D4">
      <w:pPr>
        <w:pStyle w:val="ListParagraph"/>
        <w:numPr>
          <w:ilvl w:val="0"/>
          <w:numId w:val="22"/>
        </w:numPr>
        <w:spacing w:after="0" w:line="360" w:lineRule="auto"/>
        <w:ind w:left="540" w:hanging="180"/>
        <w:contextualSpacing w:val="0"/>
        <w:jc w:val="both"/>
        <w:rPr>
          <w:rFonts w:ascii="Arial" w:hAnsi="Arial"/>
          <w:sz w:val="20"/>
        </w:rPr>
      </w:pPr>
      <w:r w:rsidRPr="00BC3E86">
        <w:rPr>
          <w:rFonts w:ascii="Arial" w:hAnsi="Arial"/>
          <w:sz w:val="20"/>
        </w:rPr>
        <w:t>Understood the principle that management used to recognise interest income from loans to non-performing assets and assessed the appropriateness of the principle with the general practice of other companies in the same industry.</w:t>
      </w:r>
    </w:p>
    <w:p w14:paraId="236A6724" w14:textId="77777777" w:rsidR="00C424D4" w:rsidRPr="00BC3E86" w:rsidRDefault="00C424D4" w:rsidP="00C424D4">
      <w:pPr>
        <w:pStyle w:val="ListParagraph"/>
        <w:spacing w:after="0" w:line="360" w:lineRule="auto"/>
        <w:ind w:left="540"/>
        <w:contextualSpacing w:val="0"/>
        <w:jc w:val="both"/>
        <w:rPr>
          <w:rFonts w:ascii="Arial" w:hAnsi="Arial"/>
          <w:spacing w:val="-4"/>
          <w:sz w:val="4"/>
          <w:szCs w:val="4"/>
        </w:rPr>
      </w:pPr>
    </w:p>
    <w:p w14:paraId="440388A6" w14:textId="77777777" w:rsidR="00C424D4" w:rsidRPr="00BC3E86" w:rsidRDefault="00C424D4" w:rsidP="00C424D4">
      <w:pPr>
        <w:pStyle w:val="ListParagraph"/>
        <w:numPr>
          <w:ilvl w:val="0"/>
          <w:numId w:val="22"/>
        </w:numPr>
        <w:spacing w:after="0" w:line="360" w:lineRule="auto"/>
        <w:ind w:left="540" w:hanging="180"/>
        <w:contextualSpacing w:val="0"/>
        <w:jc w:val="both"/>
        <w:rPr>
          <w:rFonts w:ascii="Arial" w:hAnsi="Arial"/>
          <w:spacing w:val="-4"/>
          <w:sz w:val="20"/>
        </w:rPr>
      </w:pPr>
      <w:r w:rsidRPr="00BC3E86">
        <w:rPr>
          <w:rFonts w:ascii="Arial" w:hAnsi="Arial"/>
          <w:spacing w:val="-4"/>
          <w:sz w:val="20"/>
        </w:rPr>
        <w:t>Understood the process of estimating cash flows and the effective interest rate at the initial date.</w:t>
      </w:r>
    </w:p>
    <w:p w14:paraId="569E2776" w14:textId="77777777" w:rsidR="00C424D4" w:rsidRPr="00BC3E86" w:rsidRDefault="00C424D4" w:rsidP="00C424D4">
      <w:pPr>
        <w:pStyle w:val="ListParagraph"/>
        <w:spacing w:after="0" w:line="360" w:lineRule="auto"/>
        <w:ind w:left="540"/>
        <w:contextualSpacing w:val="0"/>
        <w:jc w:val="both"/>
        <w:rPr>
          <w:rFonts w:ascii="Arial" w:hAnsi="Arial"/>
          <w:spacing w:val="-4"/>
          <w:sz w:val="4"/>
          <w:szCs w:val="4"/>
        </w:rPr>
      </w:pPr>
    </w:p>
    <w:p w14:paraId="0C5CCDEF" w14:textId="77777777" w:rsidR="00C424D4" w:rsidRPr="00BC3E86" w:rsidRDefault="00C424D4" w:rsidP="00C424D4">
      <w:pPr>
        <w:pStyle w:val="ListParagraph"/>
        <w:numPr>
          <w:ilvl w:val="0"/>
          <w:numId w:val="22"/>
        </w:numPr>
        <w:spacing w:after="0" w:line="360" w:lineRule="auto"/>
        <w:ind w:left="540" w:hanging="180"/>
        <w:contextualSpacing w:val="0"/>
        <w:jc w:val="both"/>
        <w:rPr>
          <w:rFonts w:ascii="Arial" w:hAnsi="Arial"/>
          <w:sz w:val="20"/>
        </w:rPr>
      </w:pPr>
      <w:r w:rsidRPr="00BC3E86">
        <w:rPr>
          <w:rFonts w:ascii="Arial" w:hAnsi="Arial"/>
          <w:spacing w:val="-4"/>
          <w:sz w:val="20"/>
        </w:rPr>
        <w:t xml:space="preserve">Tested a sample of estimated cash flows and effective interest rates, as well as related factors </w:t>
      </w:r>
      <w:r w:rsidRPr="00BC3E86">
        <w:rPr>
          <w:rFonts w:ascii="Arial" w:hAnsi="Arial"/>
          <w:spacing w:val="-2"/>
          <w:sz w:val="20"/>
        </w:rPr>
        <w:t>used to estimate cash flows and the effective interest rate at the acquisition date. This included assessing the appropriateness of factors affecting the estimation of cash flows and</w:t>
      </w:r>
      <w:r w:rsidRPr="00BC3E86">
        <w:rPr>
          <w:rFonts w:ascii="Arial" w:hAnsi="Arial"/>
          <w:sz w:val="20"/>
        </w:rPr>
        <w:t xml:space="preserve"> effective </w:t>
      </w:r>
      <w:r w:rsidRPr="00BC3E86">
        <w:rPr>
          <w:rFonts w:ascii="Arial" w:hAnsi="Arial"/>
          <w:spacing w:val="-6"/>
          <w:sz w:val="20"/>
        </w:rPr>
        <w:t xml:space="preserve">interest rate at the acquisition date such as hair cut rate, repayment rate, legal status of receivables, </w:t>
      </w:r>
      <w:r w:rsidRPr="00BC3E86">
        <w:rPr>
          <w:rFonts w:ascii="Arial" w:hAnsi="Arial"/>
          <w:sz w:val="20"/>
        </w:rPr>
        <w:t>collateral values and initial cost allocation.</w:t>
      </w:r>
    </w:p>
    <w:p w14:paraId="5F550B29" w14:textId="77777777" w:rsidR="00C424D4" w:rsidRPr="00BC3E86" w:rsidRDefault="00C424D4" w:rsidP="00C424D4">
      <w:pPr>
        <w:pStyle w:val="ListParagraph"/>
        <w:spacing w:after="0" w:line="360" w:lineRule="auto"/>
        <w:ind w:left="540"/>
        <w:contextualSpacing w:val="0"/>
        <w:jc w:val="both"/>
        <w:rPr>
          <w:rFonts w:ascii="Arial" w:hAnsi="Arial"/>
          <w:spacing w:val="-4"/>
          <w:sz w:val="4"/>
          <w:szCs w:val="4"/>
        </w:rPr>
      </w:pPr>
    </w:p>
    <w:p w14:paraId="5C9A0CB8" w14:textId="48273C95" w:rsidR="00C424D4" w:rsidRDefault="00C424D4" w:rsidP="00C424D4">
      <w:pPr>
        <w:pStyle w:val="ListParagraph"/>
        <w:numPr>
          <w:ilvl w:val="0"/>
          <w:numId w:val="22"/>
        </w:numPr>
        <w:spacing w:after="0" w:line="360" w:lineRule="auto"/>
        <w:ind w:left="540" w:hanging="180"/>
        <w:contextualSpacing w:val="0"/>
        <w:jc w:val="both"/>
        <w:rPr>
          <w:rFonts w:ascii="Arial" w:hAnsi="Arial"/>
          <w:sz w:val="20"/>
        </w:rPr>
      </w:pPr>
      <w:r w:rsidRPr="00BC3E86">
        <w:rPr>
          <w:rFonts w:ascii="Arial" w:hAnsi="Arial"/>
          <w:sz w:val="20"/>
        </w:rPr>
        <w:t>Tested a sample to calculate the interest income from loans to non-performing assets and tested</w:t>
      </w:r>
      <w:r w:rsidRPr="00BC3E86">
        <w:rPr>
          <w:rFonts w:ascii="Arial" w:hAnsi="Arial"/>
          <w:spacing w:val="-4"/>
          <w:sz w:val="20"/>
        </w:rPr>
        <w:t xml:space="preserve"> </w:t>
      </w:r>
      <w:r w:rsidRPr="00BC3E86">
        <w:rPr>
          <w:rFonts w:ascii="Arial" w:hAnsi="Arial"/>
          <w:sz w:val="20"/>
        </w:rPr>
        <w:t>a sample of repayments for loans to non-performing assets.</w:t>
      </w:r>
    </w:p>
    <w:p w14:paraId="244C0B0E" w14:textId="77777777" w:rsidR="00BC3E86" w:rsidRPr="00BC3E86" w:rsidRDefault="00BC3E86" w:rsidP="00BC3E86">
      <w:pPr>
        <w:pStyle w:val="ListParagraph"/>
        <w:spacing w:after="0" w:line="360" w:lineRule="auto"/>
        <w:ind w:left="540"/>
        <w:contextualSpacing w:val="0"/>
        <w:jc w:val="both"/>
        <w:rPr>
          <w:rFonts w:ascii="Arial" w:hAnsi="Arial"/>
          <w:sz w:val="4"/>
          <w:szCs w:val="4"/>
        </w:rPr>
      </w:pPr>
    </w:p>
    <w:p w14:paraId="64F3ABC5" w14:textId="77777777" w:rsidR="000129FC" w:rsidRDefault="000129FC" w:rsidP="00864206">
      <w:pPr>
        <w:pStyle w:val="BodyText"/>
        <w:numPr>
          <w:ilvl w:val="0"/>
          <w:numId w:val="22"/>
        </w:numPr>
        <w:spacing w:after="0" w:line="360" w:lineRule="auto"/>
        <w:ind w:left="567" w:hanging="207"/>
        <w:jc w:val="thaiDistribute"/>
        <w:rPr>
          <w:rFonts w:ascii="Arial" w:hAnsi="Arial"/>
          <w:sz w:val="20"/>
        </w:rPr>
      </w:pPr>
      <w:r w:rsidRPr="00A6498A">
        <w:rPr>
          <w:rFonts w:ascii="Arial" w:hAnsi="Arial"/>
          <w:sz w:val="20"/>
        </w:rPr>
        <w:t>Consider the adequacy of the disclosures of information in accordance with Thai Financial Reporting Standards.</w:t>
      </w:r>
    </w:p>
    <w:p w14:paraId="54715B07" w14:textId="77777777" w:rsidR="001337B5" w:rsidRDefault="001337B5" w:rsidP="001337B5">
      <w:pPr>
        <w:pStyle w:val="ListParagraph"/>
        <w:rPr>
          <w:rFonts w:ascii="Arial" w:hAnsi="Arial"/>
          <w:sz w:val="20"/>
        </w:rPr>
      </w:pPr>
    </w:p>
    <w:p w14:paraId="5D574B9D" w14:textId="26921CD0" w:rsidR="00C424D4" w:rsidRPr="00BC3E86" w:rsidRDefault="00C424D4" w:rsidP="00C424D4">
      <w:pPr>
        <w:pStyle w:val="Default"/>
        <w:spacing w:line="360" w:lineRule="auto"/>
        <w:jc w:val="both"/>
        <w:rPr>
          <w:b/>
          <w:bCs/>
          <w:i/>
          <w:iCs/>
          <w:sz w:val="20"/>
          <w:szCs w:val="25"/>
          <w:lang w:bidi="th-TH"/>
        </w:rPr>
      </w:pPr>
      <w:r w:rsidRPr="00BC3E86">
        <w:rPr>
          <w:b/>
          <w:bCs/>
          <w:i/>
          <w:iCs/>
          <w:sz w:val="20"/>
          <w:szCs w:val="20"/>
        </w:rPr>
        <w:lastRenderedPageBreak/>
        <w:t xml:space="preserve">Allowance for expected credit losses </w:t>
      </w:r>
      <w:r w:rsidRPr="00BC3E86">
        <w:rPr>
          <w:b/>
          <w:bCs/>
          <w:i/>
          <w:iCs/>
          <w:sz w:val="20"/>
          <w:szCs w:val="25"/>
          <w:lang w:bidi="th-TH"/>
        </w:rPr>
        <w:t>of loan to non-performing assets</w:t>
      </w:r>
    </w:p>
    <w:p w14:paraId="4E68312D" w14:textId="77777777" w:rsidR="002F534C" w:rsidRPr="00E25706" w:rsidRDefault="002F534C" w:rsidP="002F534C">
      <w:pPr>
        <w:pStyle w:val="Default"/>
        <w:spacing w:line="360" w:lineRule="auto"/>
        <w:jc w:val="thaiDistribute"/>
        <w:rPr>
          <w:sz w:val="14"/>
          <w:szCs w:val="14"/>
          <w:lang w:val="en-US" w:bidi="th-TH"/>
        </w:rPr>
      </w:pPr>
    </w:p>
    <w:p w14:paraId="78FCB8D2" w14:textId="038B4718" w:rsidR="00C424D4" w:rsidRPr="00E25706" w:rsidRDefault="00C424D4" w:rsidP="00C424D4">
      <w:pPr>
        <w:pStyle w:val="Default"/>
        <w:spacing w:line="360" w:lineRule="auto"/>
        <w:jc w:val="both"/>
        <w:rPr>
          <w:sz w:val="20"/>
          <w:szCs w:val="20"/>
        </w:rPr>
      </w:pPr>
      <w:r w:rsidRPr="00E25706">
        <w:rPr>
          <w:sz w:val="20"/>
          <w:lang w:val="en-US" w:bidi="th-TH"/>
        </w:rPr>
        <w:t>T</w:t>
      </w:r>
      <w:r w:rsidRPr="00E25706">
        <w:rPr>
          <w:sz w:val="20"/>
        </w:rPr>
        <w:t>he Group has</w:t>
      </w:r>
      <w:r w:rsidRPr="00E25706">
        <w:rPr>
          <w:sz w:val="20"/>
          <w:szCs w:val="20"/>
        </w:rPr>
        <w:t xml:space="preserve"> gross loan to non-performing assets balance reported as at 31 December 202</w:t>
      </w:r>
      <w:r w:rsidR="002F534C" w:rsidRPr="00E25706">
        <w:rPr>
          <w:sz w:val="20"/>
          <w:szCs w:val="20"/>
        </w:rPr>
        <w:t>5</w:t>
      </w:r>
      <w:r w:rsidRPr="00E25706">
        <w:rPr>
          <w:spacing w:val="2"/>
          <w:sz w:val="20"/>
          <w:szCs w:val="20"/>
        </w:rPr>
        <w:t xml:space="preserve"> </w:t>
      </w:r>
      <w:r w:rsidRPr="00E25706">
        <w:rPr>
          <w:sz w:val="20"/>
          <w:szCs w:val="20"/>
        </w:rPr>
        <w:t xml:space="preserve">in </w:t>
      </w:r>
      <w:r w:rsidRPr="00E25706">
        <w:rPr>
          <w:spacing w:val="-6"/>
          <w:sz w:val="20"/>
          <w:szCs w:val="20"/>
        </w:rPr>
        <w:t xml:space="preserve">the consolidated financial statements of approximately Baht </w:t>
      </w:r>
      <w:r w:rsidR="00706F74" w:rsidRPr="00E25706">
        <w:rPr>
          <w:spacing w:val="-6"/>
          <w:sz w:val="20"/>
          <w:szCs w:val="20"/>
        </w:rPr>
        <w:t>501.1</w:t>
      </w:r>
      <w:r w:rsidR="006B328B" w:rsidRPr="00E25706">
        <w:rPr>
          <w:spacing w:val="-6"/>
          <w:sz w:val="20"/>
          <w:szCs w:val="20"/>
        </w:rPr>
        <w:t>7</w:t>
      </w:r>
      <w:r w:rsidRPr="00E25706">
        <w:rPr>
          <w:spacing w:val="-6"/>
          <w:sz w:val="20"/>
          <w:szCs w:val="20"/>
        </w:rPr>
        <w:t xml:space="preserve"> million, at </w:t>
      </w:r>
      <w:r w:rsidR="00706F74" w:rsidRPr="00E25706">
        <w:rPr>
          <w:spacing w:val="-6"/>
          <w:sz w:val="20"/>
          <w:szCs w:val="20"/>
        </w:rPr>
        <w:t>28.84</w:t>
      </w:r>
      <w:r w:rsidRPr="00E25706">
        <w:rPr>
          <w:spacing w:val="-6"/>
          <w:sz w:val="20"/>
          <w:szCs w:val="20"/>
        </w:rPr>
        <w:t xml:space="preserve"> of the consolidated total assets and the allowances for expected credit gain (losses) of Baht </w:t>
      </w:r>
      <w:r w:rsidR="00706F74" w:rsidRPr="00E25706">
        <w:rPr>
          <w:spacing w:val="-6"/>
          <w:sz w:val="20"/>
          <w:szCs w:val="20"/>
        </w:rPr>
        <w:t>1</w:t>
      </w:r>
      <w:r w:rsidR="006B328B" w:rsidRPr="00E25706">
        <w:rPr>
          <w:spacing w:val="-6"/>
          <w:sz w:val="20"/>
          <w:szCs w:val="20"/>
        </w:rPr>
        <w:t>14</w:t>
      </w:r>
      <w:r w:rsidR="00706F74" w:rsidRPr="00E25706">
        <w:rPr>
          <w:spacing w:val="-6"/>
          <w:sz w:val="20"/>
          <w:szCs w:val="20"/>
        </w:rPr>
        <w:t>.</w:t>
      </w:r>
      <w:r w:rsidR="006B328B" w:rsidRPr="00E25706">
        <w:rPr>
          <w:spacing w:val="-6"/>
          <w:sz w:val="20"/>
          <w:szCs w:val="20"/>
        </w:rPr>
        <w:t>0</w:t>
      </w:r>
      <w:r w:rsidR="00706F74" w:rsidRPr="00E25706">
        <w:rPr>
          <w:spacing w:val="-6"/>
          <w:sz w:val="20"/>
          <w:szCs w:val="20"/>
        </w:rPr>
        <w:t>5</w:t>
      </w:r>
      <w:r w:rsidRPr="00E25706">
        <w:rPr>
          <w:spacing w:val="-6"/>
          <w:sz w:val="20"/>
          <w:szCs w:val="20"/>
        </w:rPr>
        <w:t xml:space="preserve"> million, which represents </w:t>
      </w:r>
      <w:r w:rsidR="006B328B" w:rsidRPr="00E25706">
        <w:rPr>
          <w:sz w:val="20"/>
          <w:szCs w:val="20"/>
        </w:rPr>
        <w:t>18</w:t>
      </w:r>
      <w:r w:rsidR="00706F74" w:rsidRPr="00E25706">
        <w:rPr>
          <w:sz w:val="20"/>
          <w:szCs w:val="20"/>
        </w:rPr>
        <w:t>.5</w:t>
      </w:r>
      <w:r w:rsidR="006B328B" w:rsidRPr="00E25706">
        <w:rPr>
          <w:sz w:val="20"/>
          <w:szCs w:val="20"/>
        </w:rPr>
        <w:t>4</w:t>
      </w:r>
      <w:r w:rsidRPr="00E25706">
        <w:rPr>
          <w:sz w:val="20"/>
          <w:szCs w:val="20"/>
        </w:rPr>
        <w:t xml:space="preserve"> of loan to non-performing assets in the consolidated financial statements as mentioned in </w:t>
      </w:r>
      <w:r w:rsidRPr="00E25706">
        <w:rPr>
          <w:sz w:val="20"/>
        </w:rPr>
        <w:t xml:space="preserve">note </w:t>
      </w:r>
      <w:r w:rsidR="00D52363" w:rsidRPr="00E25706">
        <w:rPr>
          <w:sz w:val="20"/>
        </w:rPr>
        <w:t>6</w:t>
      </w:r>
      <w:r w:rsidRPr="00E25706">
        <w:rPr>
          <w:sz w:val="20"/>
        </w:rPr>
        <w:t>.6 to the consolidated financial statements</w:t>
      </w:r>
      <w:r w:rsidRPr="00E25706">
        <w:rPr>
          <w:sz w:val="20"/>
          <w:szCs w:val="20"/>
        </w:rPr>
        <w:t xml:space="preserve">. </w:t>
      </w:r>
      <w:r w:rsidRPr="00E25706">
        <w:rPr>
          <w:sz w:val="20"/>
        </w:rPr>
        <w:t>As discussed in note 2.1</w:t>
      </w:r>
      <w:r w:rsidR="00AD5A97" w:rsidRPr="00E25706">
        <w:rPr>
          <w:sz w:val="20"/>
          <w:lang w:val="en-US" w:bidi="th-TH"/>
        </w:rPr>
        <w:t>6</w:t>
      </w:r>
      <w:r w:rsidRPr="00E25706">
        <w:rPr>
          <w:sz w:val="20"/>
        </w:rPr>
        <w:t xml:space="preserve"> to the consolidated financial statements </w:t>
      </w:r>
      <w:r w:rsidRPr="00E25706">
        <w:rPr>
          <w:sz w:val="20"/>
          <w:szCs w:val="20"/>
        </w:rPr>
        <w:t>for accounting policies - loan to non-performing assets, the Group recognised loss on impairment of loan to non-performing assets when it anticipated that the discounted cash flows for the present values of receivables were lower than the carrying value.</w:t>
      </w:r>
    </w:p>
    <w:p w14:paraId="124B5AFC" w14:textId="77777777" w:rsidR="00C424D4" w:rsidRPr="00E25706" w:rsidRDefault="00C424D4" w:rsidP="00C424D4">
      <w:pPr>
        <w:pStyle w:val="Default"/>
        <w:spacing w:line="360" w:lineRule="auto"/>
        <w:jc w:val="thaiDistribute"/>
        <w:rPr>
          <w:spacing w:val="-6"/>
          <w:sz w:val="14"/>
          <w:szCs w:val="14"/>
        </w:rPr>
      </w:pPr>
    </w:p>
    <w:p w14:paraId="6FEE3169" w14:textId="579C7CB8" w:rsidR="00C424D4" w:rsidRPr="00BC3E86" w:rsidRDefault="00C424D4" w:rsidP="00C424D4">
      <w:pPr>
        <w:pStyle w:val="Default"/>
        <w:spacing w:line="360" w:lineRule="auto"/>
        <w:jc w:val="both"/>
        <w:rPr>
          <w:spacing w:val="-2"/>
          <w:sz w:val="20"/>
          <w:szCs w:val="20"/>
        </w:rPr>
      </w:pPr>
      <w:r w:rsidRPr="00BC3E86">
        <w:rPr>
          <w:spacing w:val="-2"/>
          <w:sz w:val="20"/>
          <w:szCs w:val="20"/>
        </w:rPr>
        <w:t xml:space="preserve">I focussed on auditing this area because it required management’s significant judgment to determine the assumptions </w:t>
      </w:r>
      <w:r w:rsidR="00024F10" w:rsidRPr="00BC3E86">
        <w:rPr>
          <w:spacing w:val="-2"/>
          <w:sz w:val="20"/>
        </w:rPr>
        <w:t xml:space="preserve">for the cash flow forecasts </w:t>
      </w:r>
      <w:r w:rsidR="00024F10" w:rsidRPr="00BC3E86">
        <w:rPr>
          <w:spacing w:val="-2"/>
          <w:sz w:val="20"/>
          <w:szCs w:val="20"/>
        </w:rPr>
        <w:t xml:space="preserve">and future economic impact </w:t>
      </w:r>
      <w:r w:rsidRPr="00BC3E86">
        <w:rPr>
          <w:spacing w:val="-2"/>
          <w:sz w:val="20"/>
          <w:szCs w:val="20"/>
        </w:rPr>
        <w:t>used to estimate the allowance for expected credit losses, which are material to the consolidated financial statements.</w:t>
      </w:r>
    </w:p>
    <w:p w14:paraId="1FEA8E5F" w14:textId="77777777" w:rsidR="00C424D4" w:rsidRPr="00E25706" w:rsidRDefault="00C424D4" w:rsidP="00C424D4">
      <w:pPr>
        <w:pStyle w:val="Default"/>
        <w:spacing w:line="360" w:lineRule="auto"/>
        <w:jc w:val="thaiDistribute"/>
        <w:rPr>
          <w:spacing w:val="-4"/>
          <w:sz w:val="14"/>
          <w:szCs w:val="14"/>
        </w:rPr>
      </w:pPr>
    </w:p>
    <w:p w14:paraId="0464847E" w14:textId="77777777" w:rsidR="00C424D4" w:rsidRPr="00BC3E86" w:rsidRDefault="00C424D4" w:rsidP="00C424D4">
      <w:pPr>
        <w:pStyle w:val="BodyText"/>
        <w:spacing w:after="0" w:line="360" w:lineRule="auto"/>
        <w:jc w:val="thaiDistribute"/>
        <w:rPr>
          <w:rFonts w:ascii="Arial" w:hAnsi="Arial"/>
          <w:sz w:val="20"/>
        </w:rPr>
      </w:pPr>
      <w:r w:rsidRPr="00BC3E86">
        <w:rPr>
          <w:rFonts w:ascii="Arial" w:hAnsi="Arial"/>
          <w:spacing w:val="4"/>
          <w:sz w:val="20"/>
        </w:rPr>
        <w:t xml:space="preserve">I obtained an assurance in respect of allowance for expected credit loss (ECL) on loans to </w:t>
      </w:r>
      <w:r w:rsidRPr="00BC3E86">
        <w:rPr>
          <w:rFonts w:ascii="Arial" w:hAnsi="Arial"/>
          <w:sz w:val="20"/>
        </w:rPr>
        <w:t>non-performing assets</w:t>
      </w:r>
      <w:r w:rsidRPr="00BC3E86">
        <w:rPr>
          <w:rFonts w:ascii="Arial" w:hAnsi="Arial"/>
          <w:sz w:val="20"/>
          <w:cs/>
        </w:rPr>
        <w:t xml:space="preserve"> </w:t>
      </w:r>
      <w:r w:rsidRPr="00BC3E86">
        <w:rPr>
          <w:rFonts w:ascii="Arial" w:hAnsi="Arial"/>
          <w:sz w:val="20"/>
        </w:rPr>
        <w:t>with following auditing procedures:</w:t>
      </w:r>
    </w:p>
    <w:p w14:paraId="1F3B8F2C" w14:textId="77777777" w:rsidR="00C424D4" w:rsidRPr="00BC3E86" w:rsidRDefault="00C424D4" w:rsidP="00C424D4">
      <w:pPr>
        <w:pStyle w:val="BodyText"/>
        <w:spacing w:after="0" w:line="360" w:lineRule="auto"/>
        <w:jc w:val="thaiDistribute"/>
        <w:rPr>
          <w:rFonts w:ascii="Arial" w:hAnsi="Arial"/>
          <w:sz w:val="6"/>
          <w:szCs w:val="6"/>
        </w:rPr>
      </w:pPr>
    </w:p>
    <w:p w14:paraId="4AF043B4" w14:textId="77777777" w:rsidR="00C424D4" w:rsidRPr="00BC3E86" w:rsidRDefault="00C424D4" w:rsidP="00C424D4">
      <w:pPr>
        <w:pStyle w:val="ListParagraph"/>
        <w:numPr>
          <w:ilvl w:val="0"/>
          <w:numId w:val="23"/>
        </w:numPr>
        <w:spacing w:after="0" w:line="360" w:lineRule="auto"/>
        <w:ind w:left="540" w:hanging="180"/>
        <w:contextualSpacing w:val="0"/>
        <w:jc w:val="thaiDistribute"/>
        <w:rPr>
          <w:rFonts w:ascii="Arial" w:hAnsi="Arial"/>
          <w:sz w:val="20"/>
        </w:rPr>
      </w:pPr>
      <w:r w:rsidRPr="00BC3E86">
        <w:rPr>
          <w:rFonts w:ascii="Arial" w:hAnsi="Arial"/>
          <w:sz w:val="20"/>
        </w:rPr>
        <w:t>Understood the principle that management used to recognise the allowance for expected credit losses of loans to non-performing assets.</w:t>
      </w:r>
    </w:p>
    <w:p w14:paraId="7E623D7C" w14:textId="77777777" w:rsidR="00C424D4" w:rsidRPr="00BC3E86" w:rsidRDefault="00C424D4" w:rsidP="00C424D4">
      <w:pPr>
        <w:pStyle w:val="ListParagraph"/>
        <w:spacing w:after="0" w:line="360" w:lineRule="auto"/>
        <w:ind w:left="540"/>
        <w:contextualSpacing w:val="0"/>
        <w:jc w:val="both"/>
        <w:rPr>
          <w:rFonts w:ascii="Arial" w:hAnsi="Arial"/>
          <w:spacing w:val="-4"/>
          <w:sz w:val="6"/>
          <w:szCs w:val="6"/>
        </w:rPr>
      </w:pPr>
    </w:p>
    <w:p w14:paraId="19DDA9DF" w14:textId="77777777" w:rsidR="00C424D4" w:rsidRPr="00BC3E86" w:rsidRDefault="00C424D4" w:rsidP="00C424D4">
      <w:pPr>
        <w:pStyle w:val="ListParagraph"/>
        <w:numPr>
          <w:ilvl w:val="0"/>
          <w:numId w:val="23"/>
        </w:numPr>
        <w:spacing w:after="0" w:line="360" w:lineRule="auto"/>
        <w:ind w:left="540" w:hanging="180"/>
        <w:contextualSpacing w:val="0"/>
        <w:jc w:val="thaiDistribute"/>
        <w:rPr>
          <w:rFonts w:ascii="Arial" w:hAnsi="Arial"/>
          <w:spacing w:val="-2"/>
          <w:sz w:val="20"/>
        </w:rPr>
      </w:pPr>
      <w:r w:rsidRPr="00BC3E86">
        <w:rPr>
          <w:rFonts w:ascii="Arial" w:hAnsi="Arial"/>
          <w:spacing w:val="-2"/>
          <w:sz w:val="20"/>
        </w:rPr>
        <w:t xml:space="preserve">Assessed credit on a loan samples and the reasonableness of the assumptions for the cash flow forecasts prepared by management by comparing with the historical results of each type </w:t>
      </w:r>
      <w:r w:rsidRPr="00BC3E86">
        <w:rPr>
          <w:rFonts w:ascii="Arial" w:hAnsi="Arial"/>
          <w:sz w:val="20"/>
        </w:rPr>
        <w:t>of loan. For cash flows forecasts based on realisation of collateral, I agreed the collateral</w:t>
      </w:r>
      <w:r w:rsidRPr="00BC3E86">
        <w:rPr>
          <w:rFonts w:ascii="Arial" w:hAnsi="Arial"/>
          <w:spacing w:val="-2"/>
          <w:sz w:val="20"/>
        </w:rPr>
        <w:t xml:space="preserve"> valuation to the current valuation report prepared by independent valuers. I recalculated ECL for exposures assessed.</w:t>
      </w:r>
    </w:p>
    <w:p w14:paraId="67CA922C" w14:textId="77777777" w:rsidR="00C424D4" w:rsidRPr="00BC3E86" w:rsidRDefault="00C424D4" w:rsidP="00C424D4">
      <w:pPr>
        <w:spacing w:after="0" w:line="360" w:lineRule="auto"/>
        <w:ind w:left="540" w:hanging="180"/>
        <w:jc w:val="thaiDistribute"/>
        <w:rPr>
          <w:rFonts w:ascii="Arial" w:hAnsi="Arial"/>
          <w:spacing w:val="-4"/>
          <w:sz w:val="6"/>
          <w:szCs w:val="6"/>
        </w:rPr>
      </w:pPr>
    </w:p>
    <w:p w14:paraId="61568ABB" w14:textId="77777777" w:rsidR="00C424D4" w:rsidRPr="00BC3E86" w:rsidRDefault="00C424D4" w:rsidP="00C424D4">
      <w:pPr>
        <w:pStyle w:val="ListParagraph"/>
        <w:numPr>
          <w:ilvl w:val="0"/>
          <w:numId w:val="23"/>
        </w:numPr>
        <w:spacing w:after="0" w:line="360" w:lineRule="auto"/>
        <w:ind w:left="540" w:hanging="180"/>
        <w:contextualSpacing w:val="0"/>
        <w:jc w:val="both"/>
        <w:rPr>
          <w:rFonts w:ascii="Arial" w:hAnsi="Arial"/>
          <w:sz w:val="20"/>
        </w:rPr>
      </w:pPr>
      <w:r w:rsidRPr="00BC3E86">
        <w:rPr>
          <w:rFonts w:ascii="Arial" w:hAnsi="Arial"/>
          <w:spacing w:val="-2"/>
          <w:sz w:val="20"/>
        </w:rPr>
        <w:t xml:space="preserve">Reviewing the appropriateness of the reliability of loan information in the system and system </w:t>
      </w:r>
      <w:r w:rsidRPr="00BC3E86">
        <w:rPr>
          <w:rFonts w:ascii="Arial" w:hAnsi="Arial"/>
          <w:sz w:val="20"/>
        </w:rPr>
        <w:t>calculation accuracy.</w:t>
      </w:r>
    </w:p>
    <w:p w14:paraId="772A7760" w14:textId="77777777" w:rsidR="00C424D4" w:rsidRPr="00BC3E86" w:rsidRDefault="00C424D4" w:rsidP="00C424D4">
      <w:pPr>
        <w:pStyle w:val="BodyText"/>
        <w:spacing w:after="0" w:line="360" w:lineRule="auto"/>
        <w:jc w:val="thaiDistribute"/>
        <w:rPr>
          <w:rFonts w:ascii="Arial" w:hAnsi="Arial"/>
          <w:sz w:val="20"/>
        </w:rPr>
      </w:pPr>
    </w:p>
    <w:p w14:paraId="50152596" w14:textId="5CD1C975" w:rsidR="00C424D4" w:rsidRPr="00BC3E86" w:rsidRDefault="00C424D4" w:rsidP="00C424D4">
      <w:pPr>
        <w:pStyle w:val="BodyText"/>
        <w:spacing w:after="0" w:line="360" w:lineRule="auto"/>
        <w:jc w:val="thaiDistribute"/>
        <w:rPr>
          <w:rFonts w:ascii="Arial" w:hAnsi="Arial"/>
          <w:i/>
          <w:iCs/>
          <w:sz w:val="20"/>
        </w:rPr>
      </w:pPr>
      <w:r w:rsidRPr="00BC3E86">
        <w:rPr>
          <w:rFonts w:ascii="Arial" w:hAnsi="Arial"/>
          <w:i/>
          <w:iCs/>
          <w:sz w:val="20"/>
        </w:rPr>
        <w:t>Other Matter</w:t>
      </w:r>
    </w:p>
    <w:p w14:paraId="564FDCC8" w14:textId="77777777" w:rsidR="00C424D4" w:rsidRPr="00433238" w:rsidRDefault="00C424D4" w:rsidP="00C424D4">
      <w:pPr>
        <w:pStyle w:val="BodyText"/>
        <w:spacing w:after="0" w:line="360" w:lineRule="auto"/>
        <w:jc w:val="thaiDistribute"/>
        <w:rPr>
          <w:rFonts w:ascii="Arial" w:hAnsi="Arial"/>
          <w:sz w:val="14"/>
          <w:szCs w:val="14"/>
          <w:lang w:val="en-US"/>
        </w:rPr>
      </w:pPr>
    </w:p>
    <w:p w14:paraId="46EBE7E4" w14:textId="105F0E59" w:rsidR="00C424D4" w:rsidRPr="009312BA" w:rsidRDefault="00D52363" w:rsidP="00C424D4">
      <w:pPr>
        <w:pStyle w:val="BodyText"/>
        <w:spacing w:after="0" w:line="360" w:lineRule="auto"/>
        <w:jc w:val="thaiDistribute"/>
        <w:rPr>
          <w:rFonts w:ascii="Arial" w:hAnsi="Arial"/>
          <w:spacing w:val="-2"/>
          <w:sz w:val="20"/>
        </w:rPr>
      </w:pPr>
      <w:r w:rsidRPr="009312BA">
        <w:rPr>
          <w:rFonts w:ascii="Arial" w:hAnsi="Arial"/>
          <w:spacing w:val="-4"/>
          <w:sz w:val="20"/>
        </w:rPr>
        <w:t xml:space="preserve">The consolidated </w:t>
      </w:r>
      <w:r w:rsidR="002637ED" w:rsidRPr="009312BA">
        <w:rPr>
          <w:rFonts w:ascii="Arial" w:hAnsi="Arial"/>
          <w:spacing w:val="-4"/>
          <w:sz w:val="20"/>
        </w:rPr>
        <w:t xml:space="preserve">financial </w:t>
      </w:r>
      <w:r w:rsidRPr="009312BA">
        <w:rPr>
          <w:rFonts w:ascii="Arial" w:hAnsi="Arial"/>
          <w:spacing w:val="-4"/>
          <w:sz w:val="20"/>
        </w:rPr>
        <w:t>statement</w:t>
      </w:r>
      <w:r w:rsidR="002637ED" w:rsidRPr="009312BA">
        <w:rPr>
          <w:rFonts w:ascii="Arial" w:hAnsi="Arial"/>
          <w:spacing w:val="-4"/>
          <w:sz w:val="20"/>
        </w:rPr>
        <w:t xml:space="preserve">s </w:t>
      </w:r>
      <w:r w:rsidRPr="009312BA">
        <w:rPr>
          <w:rFonts w:ascii="Arial" w:hAnsi="Arial"/>
          <w:spacing w:val="-4"/>
          <w:sz w:val="20"/>
        </w:rPr>
        <w:t xml:space="preserve">of Tong Hua Holding Public Company Limited and subsidiaries and the separate </w:t>
      </w:r>
      <w:r w:rsidR="002637ED" w:rsidRPr="009312BA">
        <w:rPr>
          <w:rFonts w:ascii="Arial" w:hAnsi="Arial"/>
          <w:spacing w:val="-4"/>
          <w:sz w:val="20"/>
        </w:rPr>
        <w:t>financial statements</w:t>
      </w:r>
      <w:r w:rsidRPr="009312BA">
        <w:rPr>
          <w:rFonts w:ascii="Arial" w:hAnsi="Arial"/>
          <w:spacing w:val="-4"/>
          <w:sz w:val="20"/>
        </w:rPr>
        <w:t xml:space="preserve"> of Tong Hua Holding Public Company Limited as at</w:t>
      </w:r>
      <w:r w:rsidRPr="009312BA">
        <w:rPr>
          <w:rFonts w:ascii="Arial" w:hAnsi="Arial"/>
          <w:spacing w:val="-4"/>
          <w:sz w:val="20"/>
          <w:cs/>
          <w:lang w:bidi="th-TH"/>
        </w:rPr>
        <w:t xml:space="preserve"> </w:t>
      </w:r>
      <w:r w:rsidRPr="009312BA">
        <w:rPr>
          <w:rFonts w:ascii="Arial" w:hAnsi="Arial"/>
          <w:spacing w:val="-4"/>
          <w:sz w:val="20"/>
          <w:lang w:val="en-US" w:bidi="th-TH"/>
        </w:rPr>
        <w:t xml:space="preserve">31 December </w:t>
      </w:r>
      <w:r w:rsidRPr="009312BA">
        <w:rPr>
          <w:rFonts w:ascii="Arial" w:hAnsi="Arial"/>
          <w:sz w:val="20"/>
          <w:lang w:val="en-US" w:bidi="th-TH"/>
        </w:rPr>
        <w:t>2024,</w:t>
      </w:r>
      <w:r w:rsidRPr="009312BA">
        <w:rPr>
          <w:rFonts w:ascii="Arial" w:hAnsi="Arial"/>
          <w:sz w:val="20"/>
        </w:rPr>
        <w:t xml:space="preserve"> presented as comparative information, were audited by another auditor in the same firm as mine who issued his audit report dated</w:t>
      </w:r>
      <w:r w:rsidRPr="009312BA">
        <w:rPr>
          <w:rFonts w:ascii="Arial" w:hAnsi="Arial"/>
          <w:sz w:val="20"/>
          <w:cs/>
          <w:lang w:bidi="th-TH"/>
        </w:rPr>
        <w:t xml:space="preserve"> </w:t>
      </w:r>
      <w:r w:rsidRPr="009312BA">
        <w:rPr>
          <w:rFonts w:ascii="Arial" w:hAnsi="Arial"/>
          <w:sz w:val="20"/>
          <w:lang w:val="en-US" w:bidi="th-TH"/>
        </w:rPr>
        <w:t>26 February 2025</w:t>
      </w:r>
      <w:r w:rsidRPr="009312BA">
        <w:rPr>
          <w:rFonts w:ascii="Arial" w:hAnsi="Arial"/>
          <w:sz w:val="20"/>
        </w:rPr>
        <w:t xml:space="preserve"> with an unqualified opinion with the</w:t>
      </w:r>
      <w:r w:rsidRPr="00BC3E86">
        <w:rPr>
          <w:rFonts w:ascii="Arial" w:hAnsi="Arial"/>
          <w:spacing w:val="-2"/>
          <w:sz w:val="20"/>
        </w:rPr>
        <w:t xml:space="preserve"> emphasis for attention on</w:t>
      </w:r>
      <w:r w:rsidRPr="00BC3E86">
        <w:rPr>
          <w:rFonts w:ascii="Arial" w:hAnsi="Arial"/>
          <w:spacing w:val="-2"/>
          <w:sz w:val="20"/>
          <w:cs/>
          <w:lang w:bidi="th-TH"/>
        </w:rPr>
        <w:t xml:space="preserve"> </w:t>
      </w:r>
      <w:r w:rsidRPr="00BC3E86">
        <w:rPr>
          <w:rFonts w:ascii="Arial" w:hAnsi="Arial"/>
          <w:spacing w:val="-2"/>
          <w:sz w:val="20"/>
          <w:lang w:val="en-US" w:bidi="th-TH"/>
        </w:rPr>
        <w:t xml:space="preserve">the Group restated the </w:t>
      </w:r>
      <w:r w:rsidRPr="00BC3E86">
        <w:rPr>
          <w:rFonts w:ascii="Arial" w:hAnsi="Arial"/>
          <w:spacing w:val="-2"/>
          <w:sz w:val="20"/>
        </w:rPr>
        <w:t>consolidated financial statements for the year</w:t>
      </w:r>
      <w:r w:rsidRPr="00BC3E86">
        <w:rPr>
          <w:rFonts w:ascii="Arial" w:hAnsi="Arial"/>
          <w:spacing w:val="-2"/>
          <w:sz w:val="20"/>
          <w:lang w:val="en-US" w:bidi="th-TH"/>
        </w:rPr>
        <w:t>s</w:t>
      </w:r>
      <w:r w:rsidRPr="00BC3E86">
        <w:rPr>
          <w:rFonts w:ascii="Arial" w:hAnsi="Arial"/>
          <w:sz w:val="20"/>
        </w:rPr>
        <w:t xml:space="preserve"> </w:t>
      </w:r>
      <w:r w:rsidRPr="009312BA">
        <w:rPr>
          <w:rFonts w:ascii="Arial" w:hAnsi="Arial"/>
          <w:spacing w:val="-2"/>
          <w:sz w:val="20"/>
        </w:rPr>
        <w:t>ended 31 December 2023 and 2022, the Group loans to a group of third party amounting of Baht 259 million by pledged shares of the debtor’s company and registered to appoint the director of Tong Hua Holding Public Company Limited as the authorised director of such company and the cash deposits of two subsidiaries that have been seized under the control of the Anti-Money Laundering Office relating to the proceeds from sales of investments in a listed company’s shares.</w:t>
      </w:r>
    </w:p>
    <w:p w14:paraId="31DE5144" w14:textId="18A8D06C" w:rsidR="00D52363" w:rsidRDefault="00D52363" w:rsidP="00C424D4">
      <w:pPr>
        <w:pStyle w:val="BodyText"/>
        <w:spacing w:after="0" w:line="360" w:lineRule="auto"/>
        <w:jc w:val="thaiDistribute"/>
        <w:rPr>
          <w:rFonts w:ascii="Arial" w:hAnsi="Arial"/>
          <w:i/>
          <w:iCs/>
          <w:sz w:val="20"/>
        </w:rPr>
      </w:pPr>
    </w:p>
    <w:p w14:paraId="1F508E5C" w14:textId="77777777" w:rsidR="006860F3" w:rsidRPr="00BC3E86" w:rsidRDefault="006860F3" w:rsidP="00C424D4">
      <w:pPr>
        <w:pStyle w:val="BodyText"/>
        <w:spacing w:after="0" w:line="360" w:lineRule="auto"/>
        <w:jc w:val="thaiDistribute"/>
        <w:rPr>
          <w:rFonts w:ascii="Arial" w:hAnsi="Arial"/>
          <w:i/>
          <w:iCs/>
          <w:sz w:val="20"/>
        </w:rPr>
      </w:pPr>
    </w:p>
    <w:p w14:paraId="623E3879" w14:textId="097F8D78" w:rsidR="00030AF1" w:rsidRPr="00BC3E86" w:rsidRDefault="00030AF1" w:rsidP="00030AF1">
      <w:pPr>
        <w:pStyle w:val="BodyText"/>
        <w:spacing w:after="0" w:line="360" w:lineRule="auto"/>
        <w:jc w:val="thaiDistribute"/>
        <w:rPr>
          <w:rFonts w:ascii="Arial" w:hAnsi="Arial"/>
          <w:i/>
          <w:iCs/>
          <w:sz w:val="20"/>
        </w:rPr>
      </w:pPr>
      <w:r w:rsidRPr="00BC3E86">
        <w:rPr>
          <w:rFonts w:ascii="Arial" w:hAnsi="Arial"/>
          <w:i/>
          <w:iCs/>
          <w:sz w:val="20"/>
        </w:rPr>
        <w:lastRenderedPageBreak/>
        <w:t>Other Information</w:t>
      </w:r>
    </w:p>
    <w:p w14:paraId="08095C57" w14:textId="77777777" w:rsidR="00030AF1" w:rsidRPr="00433238" w:rsidRDefault="00030AF1" w:rsidP="00030AF1">
      <w:pPr>
        <w:pStyle w:val="BodyText"/>
        <w:spacing w:after="0" w:line="360" w:lineRule="auto"/>
        <w:jc w:val="thaiDistribute"/>
        <w:rPr>
          <w:rFonts w:ascii="Arial" w:hAnsi="Arial"/>
          <w:sz w:val="10"/>
          <w:szCs w:val="10"/>
        </w:rPr>
      </w:pPr>
    </w:p>
    <w:p w14:paraId="6A283C09" w14:textId="77777777" w:rsidR="00030AF1" w:rsidRPr="00BC3E86" w:rsidRDefault="00030AF1" w:rsidP="00030AF1">
      <w:pPr>
        <w:pStyle w:val="BodyText"/>
        <w:spacing w:after="0" w:line="360" w:lineRule="auto"/>
        <w:jc w:val="thaiDistribute"/>
        <w:rPr>
          <w:rFonts w:ascii="Arial" w:hAnsi="Arial"/>
          <w:spacing w:val="-4"/>
          <w:sz w:val="20"/>
          <w:lang w:val="en-US"/>
        </w:rPr>
      </w:pPr>
      <w:r w:rsidRPr="00BC3E86">
        <w:rPr>
          <w:rFonts w:ascii="Arial" w:hAnsi="Arial"/>
          <w:spacing w:val="-4"/>
          <w:sz w:val="20"/>
        </w:rPr>
        <w:t xml:space="preserve">Management is responsible for the other information. The other information comprises the information included in the annual report but does not include the consolidated and separate financial statements </w:t>
      </w:r>
      <w:r w:rsidRPr="00433238">
        <w:rPr>
          <w:rFonts w:ascii="Arial" w:hAnsi="Arial"/>
          <w:spacing w:val="-2"/>
          <w:sz w:val="20"/>
        </w:rPr>
        <w:t>and my auditor’s report thereon. The annual report is expected to be made available to me after the</w:t>
      </w:r>
      <w:r w:rsidRPr="00BC3E86">
        <w:rPr>
          <w:rFonts w:ascii="Arial" w:hAnsi="Arial"/>
          <w:spacing w:val="-4"/>
          <w:sz w:val="20"/>
        </w:rPr>
        <w:t xml:space="preserve"> date of this auditor's report.</w:t>
      </w:r>
    </w:p>
    <w:p w14:paraId="24941B95" w14:textId="77777777" w:rsidR="00030AF1" w:rsidRPr="00433238" w:rsidRDefault="00030AF1" w:rsidP="00030AF1">
      <w:pPr>
        <w:pStyle w:val="BodyText"/>
        <w:spacing w:after="0" w:line="360" w:lineRule="auto"/>
        <w:jc w:val="thaiDistribute"/>
        <w:rPr>
          <w:rFonts w:ascii="Arial" w:hAnsi="Arial"/>
          <w:sz w:val="10"/>
          <w:szCs w:val="10"/>
        </w:rPr>
      </w:pPr>
    </w:p>
    <w:p w14:paraId="60F2F5B3" w14:textId="77777777" w:rsidR="00030AF1" w:rsidRPr="00BC3E86" w:rsidRDefault="00030AF1" w:rsidP="00030AF1">
      <w:pPr>
        <w:pStyle w:val="BodyText"/>
        <w:spacing w:after="0" w:line="360" w:lineRule="auto"/>
        <w:jc w:val="thaiDistribute"/>
        <w:rPr>
          <w:rFonts w:ascii="Arial" w:hAnsi="Arial"/>
          <w:sz w:val="20"/>
        </w:rPr>
      </w:pPr>
      <w:r w:rsidRPr="00BC3E86">
        <w:rPr>
          <w:rFonts w:ascii="Arial" w:hAnsi="Arial"/>
          <w:spacing w:val="-4"/>
          <w:sz w:val="20"/>
        </w:rPr>
        <w:t xml:space="preserve">My opinion on the consolidated and separate financial statements does not cover the other information </w:t>
      </w:r>
      <w:r w:rsidRPr="00BC3E86">
        <w:rPr>
          <w:rFonts w:ascii="Arial" w:hAnsi="Arial"/>
          <w:sz w:val="20"/>
        </w:rPr>
        <w:t xml:space="preserve">and I will not express any form of assurance conclusion thereon. </w:t>
      </w:r>
    </w:p>
    <w:p w14:paraId="63C8B44F" w14:textId="77777777" w:rsidR="00030AF1" w:rsidRPr="00433238" w:rsidRDefault="00030AF1" w:rsidP="00030AF1">
      <w:pPr>
        <w:pStyle w:val="BodyText"/>
        <w:spacing w:after="0" w:line="360" w:lineRule="auto"/>
        <w:jc w:val="thaiDistribute"/>
        <w:rPr>
          <w:rFonts w:ascii="Arial" w:hAnsi="Arial"/>
          <w:sz w:val="10"/>
          <w:szCs w:val="10"/>
        </w:rPr>
      </w:pPr>
    </w:p>
    <w:p w14:paraId="25BA2433" w14:textId="77777777" w:rsidR="00030AF1" w:rsidRPr="00BC3E86" w:rsidRDefault="00030AF1" w:rsidP="00030AF1">
      <w:pPr>
        <w:pStyle w:val="BodyText"/>
        <w:spacing w:after="0" w:line="360" w:lineRule="auto"/>
        <w:jc w:val="thaiDistribute"/>
        <w:rPr>
          <w:rFonts w:ascii="Arial" w:hAnsi="Arial"/>
          <w:spacing w:val="-2"/>
          <w:sz w:val="20"/>
        </w:rPr>
      </w:pPr>
      <w:r w:rsidRPr="00BC3E86">
        <w:rPr>
          <w:rFonts w:ascii="Arial" w:hAnsi="Arial"/>
          <w:spacing w:val="-2"/>
          <w:sz w:val="20"/>
        </w:rPr>
        <w:t>In connection with my audit of the consolidated and separate financial statements, my</w:t>
      </w:r>
      <w:r w:rsidRPr="00BC3E86">
        <w:rPr>
          <w:rFonts w:ascii="Arial" w:hAnsi="Arial"/>
          <w:sz w:val="20"/>
        </w:rPr>
        <w:t xml:space="preserve"> responsibility </w:t>
      </w:r>
      <w:r w:rsidRPr="00BC3E86">
        <w:rPr>
          <w:rFonts w:ascii="Arial" w:hAnsi="Arial"/>
          <w:spacing w:val="-2"/>
          <w:sz w:val="20"/>
        </w:rPr>
        <w:t xml:space="preserve">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10B88C6" w14:textId="77777777" w:rsidR="00030AF1" w:rsidRPr="00433238" w:rsidRDefault="00030AF1" w:rsidP="00030AF1">
      <w:pPr>
        <w:pStyle w:val="BodyText"/>
        <w:spacing w:after="0" w:line="360" w:lineRule="auto"/>
        <w:jc w:val="thaiDistribute"/>
        <w:rPr>
          <w:rFonts w:ascii="Arial" w:hAnsi="Arial"/>
          <w:sz w:val="10"/>
          <w:szCs w:val="10"/>
        </w:rPr>
      </w:pPr>
    </w:p>
    <w:p w14:paraId="628B025F" w14:textId="77777777" w:rsidR="00030AF1" w:rsidRPr="00BC3E86" w:rsidRDefault="00030AF1" w:rsidP="00030AF1">
      <w:pPr>
        <w:pStyle w:val="BodyText"/>
        <w:spacing w:after="0" w:line="360" w:lineRule="auto"/>
        <w:jc w:val="thaiDistribute"/>
        <w:rPr>
          <w:rFonts w:ascii="Arial" w:hAnsi="Arial"/>
          <w:spacing w:val="-4"/>
          <w:sz w:val="20"/>
        </w:rPr>
      </w:pPr>
      <w:r w:rsidRPr="00BC3E86">
        <w:rPr>
          <w:rFonts w:ascii="Arial" w:hAnsi="Arial"/>
          <w:spacing w:val="-4"/>
          <w:sz w:val="20"/>
        </w:rPr>
        <w:t>When I read the annual report, if I conclude that there is a material misstatement therein, I am required to communicate the matter to those charged with governance and revised a material misstatement.</w:t>
      </w:r>
    </w:p>
    <w:p w14:paraId="09E6ECD4" w14:textId="77777777" w:rsidR="00030AF1" w:rsidRPr="00433238" w:rsidRDefault="00030AF1" w:rsidP="00030AF1">
      <w:pPr>
        <w:pStyle w:val="BodyText"/>
        <w:spacing w:after="0" w:line="360" w:lineRule="auto"/>
        <w:jc w:val="thaiDistribute"/>
        <w:rPr>
          <w:rFonts w:ascii="Arial" w:hAnsi="Arial"/>
          <w:spacing w:val="-4"/>
          <w:sz w:val="12"/>
          <w:szCs w:val="12"/>
        </w:rPr>
      </w:pPr>
    </w:p>
    <w:p w14:paraId="7B182D38" w14:textId="77777777" w:rsidR="00030AF1" w:rsidRPr="00BC3E86" w:rsidRDefault="00030AF1" w:rsidP="00030AF1">
      <w:pPr>
        <w:pStyle w:val="BodyText"/>
        <w:spacing w:after="0" w:line="360" w:lineRule="auto"/>
        <w:jc w:val="thaiDistribute"/>
        <w:rPr>
          <w:rFonts w:ascii="Arial" w:hAnsi="Arial"/>
          <w:i/>
          <w:iCs/>
          <w:sz w:val="20"/>
        </w:rPr>
      </w:pPr>
      <w:r w:rsidRPr="00BC3E86">
        <w:rPr>
          <w:rFonts w:ascii="Arial" w:hAnsi="Arial"/>
          <w:i/>
          <w:iCs/>
          <w:sz w:val="20"/>
        </w:rPr>
        <w:t>Responsibilities of Management and Those Charged with Governance for the Consolidated and Separate Financial Statements</w:t>
      </w:r>
    </w:p>
    <w:p w14:paraId="698BC3FD" w14:textId="77777777" w:rsidR="00030AF1" w:rsidRPr="00433238" w:rsidRDefault="00030AF1" w:rsidP="00030AF1">
      <w:pPr>
        <w:pStyle w:val="BodyText"/>
        <w:spacing w:after="0" w:line="360" w:lineRule="auto"/>
        <w:jc w:val="thaiDistribute"/>
        <w:rPr>
          <w:rFonts w:ascii="Arial" w:hAnsi="Arial"/>
          <w:sz w:val="10"/>
          <w:szCs w:val="10"/>
        </w:rPr>
      </w:pPr>
    </w:p>
    <w:p w14:paraId="31EAAA7C" w14:textId="77777777" w:rsidR="00030AF1" w:rsidRPr="00BC3E86" w:rsidRDefault="00030AF1" w:rsidP="00030AF1">
      <w:pPr>
        <w:pStyle w:val="BodyText"/>
        <w:spacing w:after="0" w:line="360" w:lineRule="auto"/>
        <w:jc w:val="thaiDistribute"/>
        <w:rPr>
          <w:rFonts w:ascii="Arial" w:hAnsi="Arial"/>
          <w:spacing w:val="-4"/>
          <w:sz w:val="20"/>
        </w:rPr>
      </w:pPr>
      <w:r w:rsidRPr="00BC3E86">
        <w:rPr>
          <w:rFonts w:ascii="Arial" w:hAnsi="Arial"/>
          <w:spacing w:val="-4"/>
          <w:sz w:val="20"/>
        </w:rPr>
        <w:t xml:space="preserve">Management is responsible for the preparation and fair presentation of the consolidated and separate </w:t>
      </w:r>
      <w:r w:rsidRPr="00BC3E86">
        <w:rPr>
          <w:rFonts w:ascii="Arial" w:hAnsi="Arial"/>
          <w:sz w:val="20"/>
        </w:rPr>
        <w:t>financial statements in accordance with Thai Financial Reporting Standards, and for such internal</w:t>
      </w:r>
      <w:r w:rsidRPr="00BC3E86">
        <w:rPr>
          <w:rFonts w:ascii="Arial" w:hAnsi="Arial"/>
          <w:spacing w:val="-4"/>
          <w:sz w:val="20"/>
        </w:rPr>
        <w:t xml:space="preserve"> </w:t>
      </w:r>
      <w:r w:rsidRPr="00BC3E86">
        <w:rPr>
          <w:rFonts w:ascii="Arial" w:hAnsi="Arial"/>
          <w:sz w:val="20"/>
        </w:rPr>
        <w:t>control as management determines is necessary to enable the preparation of consolidated and</w:t>
      </w:r>
      <w:r w:rsidRPr="00BC3E86">
        <w:rPr>
          <w:rFonts w:ascii="Arial" w:hAnsi="Arial"/>
          <w:spacing w:val="-4"/>
          <w:sz w:val="20"/>
        </w:rPr>
        <w:t xml:space="preserve"> separate financial statements that are free from material misstatement, whether due to fraud or error.</w:t>
      </w:r>
    </w:p>
    <w:p w14:paraId="129B2E44" w14:textId="77777777" w:rsidR="00030AF1" w:rsidRPr="00433238" w:rsidRDefault="00030AF1" w:rsidP="00030AF1">
      <w:pPr>
        <w:pStyle w:val="BodyText"/>
        <w:spacing w:after="0" w:line="360" w:lineRule="auto"/>
        <w:jc w:val="thaiDistribute"/>
        <w:rPr>
          <w:rFonts w:ascii="Arial" w:hAnsi="Arial"/>
          <w:sz w:val="10"/>
          <w:szCs w:val="10"/>
        </w:rPr>
      </w:pPr>
    </w:p>
    <w:p w14:paraId="664AAAA9" w14:textId="64AB3610" w:rsidR="00030AF1" w:rsidRPr="00BC3E86" w:rsidRDefault="00030AF1" w:rsidP="00030AF1">
      <w:pPr>
        <w:pStyle w:val="BodyText"/>
        <w:spacing w:after="0" w:line="360" w:lineRule="auto"/>
        <w:jc w:val="thaiDistribute"/>
        <w:rPr>
          <w:rFonts w:ascii="Arial" w:hAnsi="Arial"/>
          <w:sz w:val="20"/>
        </w:rPr>
      </w:pPr>
      <w:r w:rsidRPr="00BC3E86">
        <w:rPr>
          <w:rFonts w:ascii="Arial" w:hAnsi="Arial"/>
          <w:sz w:val="20"/>
        </w:rPr>
        <w:t>In preparing the consolidated and separate financial statements, management is responsible for</w:t>
      </w:r>
      <w:r w:rsidRPr="00BC3E86">
        <w:rPr>
          <w:rFonts w:ascii="Arial" w:hAnsi="Arial"/>
          <w:spacing w:val="-4"/>
          <w:sz w:val="20"/>
        </w:rPr>
        <w:t xml:space="preserve"> </w:t>
      </w:r>
      <w:r w:rsidRPr="00433238">
        <w:rPr>
          <w:rFonts w:ascii="Arial" w:hAnsi="Arial"/>
          <w:sz w:val="20"/>
        </w:rPr>
        <w:t>assessing the Group’s</w:t>
      </w:r>
      <w:r w:rsidR="00677715" w:rsidRPr="00433238">
        <w:rPr>
          <w:rFonts w:ascii="Arial" w:hAnsi="Arial"/>
        </w:rPr>
        <w:t xml:space="preserve"> </w:t>
      </w:r>
      <w:r w:rsidR="00677715" w:rsidRPr="00433238">
        <w:rPr>
          <w:rFonts w:ascii="Arial" w:hAnsi="Arial"/>
          <w:sz w:val="20"/>
        </w:rPr>
        <w:t>and the Company’s</w:t>
      </w:r>
      <w:r w:rsidRPr="00433238">
        <w:rPr>
          <w:rFonts w:ascii="Arial" w:hAnsi="Arial"/>
          <w:sz w:val="20"/>
        </w:rPr>
        <w:t xml:space="preserve"> ability to continue as a going concern, disclosing, as</w:t>
      </w:r>
      <w:r w:rsidRPr="00BC3E86">
        <w:rPr>
          <w:rFonts w:ascii="Arial" w:hAnsi="Arial"/>
          <w:spacing w:val="-4"/>
          <w:sz w:val="20"/>
        </w:rPr>
        <w:t xml:space="preserve"> applicable, matters related to going concern and using the going concern basis of accounting unless management either intends </w:t>
      </w:r>
      <w:r w:rsidRPr="00BC3E86">
        <w:rPr>
          <w:rFonts w:ascii="Arial" w:hAnsi="Arial"/>
          <w:sz w:val="20"/>
        </w:rPr>
        <w:t xml:space="preserve">to liquidate the Group </w:t>
      </w:r>
      <w:r w:rsidR="00677715" w:rsidRPr="00BC3E86">
        <w:rPr>
          <w:rFonts w:ascii="Arial" w:hAnsi="Arial"/>
          <w:spacing w:val="-4"/>
          <w:sz w:val="20"/>
        </w:rPr>
        <w:t xml:space="preserve">and the Company </w:t>
      </w:r>
      <w:r w:rsidRPr="00BC3E86">
        <w:rPr>
          <w:rFonts w:ascii="Arial" w:hAnsi="Arial"/>
          <w:sz w:val="20"/>
        </w:rPr>
        <w:t>or to cease operations, or has no realistic alternative but to do so.</w:t>
      </w:r>
    </w:p>
    <w:p w14:paraId="59820BEE" w14:textId="77777777" w:rsidR="00030AF1" w:rsidRPr="00433238" w:rsidRDefault="00030AF1" w:rsidP="00030AF1">
      <w:pPr>
        <w:pStyle w:val="BodyText"/>
        <w:spacing w:after="0" w:line="360" w:lineRule="auto"/>
        <w:jc w:val="thaiDistribute"/>
        <w:rPr>
          <w:rFonts w:ascii="Arial" w:hAnsi="Arial"/>
          <w:sz w:val="10"/>
          <w:szCs w:val="10"/>
          <w:lang w:val="en-US"/>
        </w:rPr>
      </w:pPr>
    </w:p>
    <w:p w14:paraId="6D1090EF" w14:textId="01DED968" w:rsidR="00030AF1" w:rsidRPr="0086119A" w:rsidRDefault="00030AF1" w:rsidP="00030AF1">
      <w:pPr>
        <w:pStyle w:val="BodyText"/>
        <w:spacing w:after="0" w:line="360" w:lineRule="auto"/>
        <w:jc w:val="thaiDistribute"/>
        <w:rPr>
          <w:rFonts w:ascii="Arial" w:hAnsi="Arial"/>
          <w:sz w:val="20"/>
        </w:rPr>
      </w:pPr>
      <w:r w:rsidRPr="0086119A">
        <w:rPr>
          <w:rFonts w:ascii="Arial" w:hAnsi="Arial"/>
          <w:sz w:val="20"/>
        </w:rPr>
        <w:t xml:space="preserve">Those charged with governance are responsible for overseeing the Group’s </w:t>
      </w:r>
      <w:r w:rsidR="00677715" w:rsidRPr="0086119A">
        <w:rPr>
          <w:rFonts w:ascii="Arial" w:hAnsi="Arial"/>
          <w:sz w:val="20"/>
        </w:rPr>
        <w:t xml:space="preserve">and the Company’s </w:t>
      </w:r>
      <w:r w:rsidRPr="0086119A">
        <w:rPr>
          <w:rFonts w:ascii="Arial" w:hAnsi="Arial"/>
          <w:sz w:val="20"/>
        </w:rPr>
        <w:t>financial reporting process.</w:t>
      </w:r>
    </w:p>
    <w:p w14:paraId="2F951B1C" w14:textId="77777777" w:rsidR="00030AF1" w:rsidRPr="00433238" w:rsidRDefault="00030AF1" w:rsidP="00030AF1">
      <w:pPr>
        <w:autoSpaceDE w:val="0"/>
        <w:autoSpaceDN w:val="0"/>
        <w:adjustRightInd w:val="0"/>
        <w:spacing w:after="0" w:line="360" w:lineRule="auto"/>
        <w:jc w:val="thaiDistribute"/>
        <w:rPr>
          <w:rFonts w:ascii="Arial" w:hAnsi="Arial"/>
          <w:i/>
          <w:iCs/>
          <w:sz w:val="12"/>
          <w:szCs w:val="12"/>
        </w:rPr>
      </w:pPr>
    </w:p>
    <w:p w14:paraId="063DC56F" w14:textId="77777777" w:rsidR="00030AF1" w:rsidRPr="00BC3E86" w:rsidRDefault="00030AF1" w:rsidP="00030AF1">
      <w:pPr>
        <w:autoSpaceDE w:val="0"/>
        <w:autoSpaceDN w:val="0"/>
        <w:adjustRightInd w:val="0"/>
        <w:spacing w:after="0" w:line="360" w:lineRule="auto"/>
        <w:jc w:val="thaiDistribute"/>
        <w:rPr>
          <w:rFonts w:ascii="Arial" w:hAnsi="Arial"/>
          <w:i/>
          <w:iCs/>
          <w:sz w:val="20"/>
        </w:rPr>
      </w:pPr>
      <w:r w:rsidRPr="00BC3E86">
        <w:rPr>
          <w:rFonts w:ascii="Arial" w:hAnsi="Arial"/>
          <w:i/>
          <w:iCs/>
          <w:sz w:val="20"/>
        </w:rPr>
        <w:t xml:space="preserve">Auditor’s Responsibilities for the Audit of the Consolidated and Separate Financial Statements </w:t>
      </w:r>
    </w:p>
    <w:p w14:paraId="0ACBF903" w14:textId="77777777" w:rsidR="00030AF1" w:rsidRPr="00433238" w:rsidRDefault="00030AF1" w:rsidP="00030AF1">
      <w:pPr>
        <w:autoSpaceDE w:val="0"/>
        <w:autoSpaceDN w:val="0"/>
        <w:adjustRightInd w:val="0"/>
        <w:spacing w:after="0" w:line="360" w:lineRule="auto"/>
        <w:rPr>
          <w:rFonts w:ascii="Arial" w:hAnsi="Arial"/>
          <w:sz w:val="10"/>
          <w:szCs w:val="10"/>
        </w:rPr>
      </w:pPr>
    </w:p>
    <w:p w14:paraId="4E1C98B8" w14:textId="77777777" w:rsidR="00030AF1" w:rsidRPr="00BC3E86" w:rsidRDefault="00030AF1" w:rsidP="00030AF1">
      <w:pPr>
        <w:autoSpaceDE w:val="0"/>
        <w:autoSpaceDN w:val="0"/>
        <w:adjustRightInd w:val="0"/>
        <w:spacing w:after="0" w:line="360" w:lineRule="auto"/>
        <w:jc w:val="both"/>
        <w:rPr>
          <w:rFonts w:ascii="Arial" w:hAnsi="Arial"/>
          <w:sz w:val="20"/>
        </w:rPr>
      </w:pPr>
      <w:r w:rsidRPr="00BC3E86">
        <w:rPr>
          <w:rFonts w:ascii="Arial" w:hAnsi="Arial"/>
          <w:sz w:val="20"/>
        </w:rPr>
        <w:t xml:space="preserve">My objectives are to obtain reasonable assurance about whether the consolidated and separate financial statements </w:t>
      </w:r>
      <w:proofErr w:type="gramStart"/>
      <w:r w:rsidRPr="00BC3E86">
        <w:rPr>
          <w:rFonts w:ascii="Arial" w:hAnsi="Arial"/>
          <w:sz w:val="20"/>
        </w:rPr>
        <w:t>as a whole are</w:t>
      </w:r>
      <w:proofErr w:type="gramEnd"/>
      <w:r w:rsidRPr="00BC3E86">
        <w:rPr>
          <w:rFonts w:ascii="Arial" w:hAnsi="Arial"/>
          <w:sz w:val="20"/>
        </w:rPr>
        <w:t xml:space="preserve"> free from material misstatement, whether due to fraud or error, and to issue an auditor’s report that includes my opinion. Reasonable assurance is a high level of </w:t>
      </w:r>
      <w:proofErr w:type="gramStart"/>
      <w:r w:rsidRPr="00BC3E86">
        <w:rPr>
          <w:rFonts w:ascii="Arial" w:hAnsi="Arial"/>
          <w:sz w:val="20"/>
        </w:rPr>
        <w:t>assurance, but</w:t>
      </w:r>
      <w:proofErr w:type="gramEnd"/>
      <w:r w:rsidRPr="00BC3E86">
        <w:rPr>
          <w:rFonts w:ascii="Arial" w:hAnsi="Arial"/>
          <w:sz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C3E86">
        <w:rPr>
          <w:rFonts w:ascii="Arial" w:hAnsi="Arial"/>
          <w:sz w:val="20"/>
        </w:rPr>
        <w:t>on the basis of</w:t>
      </w:r>
      <w:proofErr w:type="gramEnd"/>
      <w:r w:rsidRPr="00BC3E86">
        <w:rPr>
          <w:rFonts w:ascii="Arial" w:hAnsi="Arial"/>
          <w:sz w:val="20"/>
        </w:rPr>
        <w:t xml:space="preserve"> these consolidated and separate financial statements.</w:t>
      </w:r>
    </w:p>
    <w:p w14:paraId="3A1BA043" w14:textId="4A0D302F" w:rsidR="00030AF1" w:rsidRDefault="00030AF1" w:rsidP="00030AF1">
      <w:pPr>
        <w:autoSpaceDE w:val="0"/>
        <w:autoSpaceDN w:val="0"/>
        <w:adjustRightInd w:val="0"/>
        <w:spacing w:after="0" w:line="360" w:lineRule="auto"/>
        <w:jc w:val="thaiDistribute"/>
        <w:rPr>
          <w:rFonts w:ascii="Arial" w:hAnsi="Arial"/>
          <w:sz w:val="4"/>
          <w:szCs w:val="4"/>
        </w:rPr>
      </w:pPr>
    </w:p>
    <w:p w14:paraId="76FE44F3" w14:textId="77777777" w:rsidR="0086119A" w:rsidRPr="0086119A" w:rsidRDefault="0086119A" w:rsidP="00030AF1">
      <w:pPr>
        <w:autoSpaceDE w:val="0"/>
        <w:autoSpaceDN w:val="0"/>
        <w:adjustRightInd w:val="0"/>
        <w:spacing w:after="0" w:line="360" w:lineRule="auto"/>
        <w:jc w:val="thaiDistribute"/>
        <w:rPr>
          <w:rFonts w:ascii="Arial" w:hAnsi="Arial"/>
          <w:sz w:val="4"/>
          <w:szCs w:val="4"/>
        </w:rPr>
      </w:pPr>
    </w:p>
    <w:p w14:paraId="38873753" w14:textId="77777777" w:rsidR="00A13F6C" w:rsidRPr="00BC3E86" w:rsidRDefault="00A13F6C" w:rsidP="00A13F6C">
      <w:pPr>
        <w:autoSpaceDE w:val="0"/>
        <w:autoSpaceDN w:val="0"/>
        <w:adjustRightInd w:val="0"/>
        <w:spacing w:after="0" w:line="360" w:lineRule="auto"/>
        <w:jc w:val="both"/>
        <w:rPr>
          <w:rFonts w:ascii="Arial" w:hAnsi="Arial"/>
          <w:sz w:val="20"/>
        </w:rPr>
      </w:pPr>
      <w:r w:rsidRPr="00BC3E86">
        <w:rPr>
          <w:rFonts w:ascii="Arial" w:hAnsi="Arial"/>
          <w:sz w:val="20"/>
        </w:rPr>
        <w:lastRenderedPageBreak/>
        <w:t xml:space="preserve">As part of an audit in accordance with Thai Standards on Auditing, I exercise professional judgment and maintain professional skepticism throughout the audit. I also: </w:t>
      </w:r>
    </w:p>
    <w:p w14:paraId="36624178" w14:textId="77777777" w:rsidR="00A13F6C" w:rsidRPr="00BC3E86" w:rsidRDefault="00A13F6C" w:rsidP="00A13F6C">
      <w:pPr>
        <w:autoSpaceDE w:val="0"/>
        <w:autoSpaceDN w:val="0"/>
        <w:adjustRightInd w:val="0"/>
        <w:spacing w:after="0" w:line="360" w:lineRule="auto"/>
        <w:jc w:val="thaiDistribute"/>
        <w:rPr>
          <w:rFonts w:ascii="Arial" w:hAnsi="Arial"/>
          <w:sz w:val="10"/>
          <w:szCs w:val="10"/>
        </w:rPr>
      </w:pPr>
    </w:p>
    <w:p w14:paraId="72767C05" w14:textId="77777777" w:rsidR="00A13F6C" w:rsidRPr="00BC3E86" w:rsidRDefault="00A13F6C" w:rsidP="00A13F6C">
      <w:pPr>
        <w:pStyle w:val="ListParagraph"/>
        <w:numPr>
          <w:ilvl w:val="0"/>
          <w:numId w:val="21"/>
        </w:numPr>
        <w:autoSpaceDE w:val="0"/>
        <w:autoSpaceDN w:val="0"/>
        <w:adjustRightInd w:val="0"/>
        <w:spacing w:after="0" w:line="360" w:lineRule="auto"/>
        <w:jc w:val="thaiDistribute"/>
        <w:rPr>
          <w:rFonts w:ascii="Arial" w:hAnsi="Arial"/>
          <w:sz w:val="20"/>
        </w:rPr>
      </w:pPr>
      <w:r w:rsidRPr="00BC3E86">
        <w:rPr>
          <w:rFonts w:ascii="Arial" w:hAnsi="Arial"/>
          <w:spacing w:val="-2"/>
          <w:sz w:val="20"/>
        </w:rPr>
        <w:t xml:space="preserve">Identify and assess the risks of material misstatement of the consolidated and separate financial </w:t>
      </w:r>
      <w:r w:rsidRPr="00BC3E86">
        <w:rPr>
          <w:rFonts w:ascii="Arial" w:hAnsi="Arial"/>
          <w:sz w:val="20"/>
        </w:rPr>
        <w:t>statements, whether due to fraud or error, design and perform audit procedures responsive to</w:t>
      </w:r>
      <w:r w:rsidRPr="00BC3E86">
        <w:rPr>
          <w:rFonts w:ascii="Arial" w:hAnsi="Arial"/>
          <w:spacing w:val="-2"/>
          <w:sz w:val="20"/>
        </w:rPr>
        <w:t xml:space="preserve"> those risks, and obtain audit evidence that is sufficient and appropriate to provide a basis for my </w:t>
      </w:r>
      <w:r w:rsidRPr="00BC3E86">
        <w:rPr>
          <w:rFonts w:ascii="Arial" w:hAnsi="Arial"/>
          <w:spacing w:val="-4"/>
          <w:sz w:val="20"/>
        </w:rPr>
        <w:t xml:space="preserve">opinion. The risk of not detecting a material misstatement resulting from fraud is higher than for one </w:t>
      </w:r>
      <w:r w:rsidRPr="00BC3E86">
        <w:rPr>
          <w:rFonts w:ascii="Arial" w:hAnsi="Arial"/>
          <w:spacing w:val="-8"/>
          <w:sz w:val="20"/>
        </w:rPr>
        <w:t>resulting from error, as fraud may involve collusion, forgery, intentional omissions, misrepresentations,</w:t>
      </w:r>
      <w:r w:rsidRPr="00BC3E86">
        <w:rPr>
          <w:rFonts w:ascii="Arial" w:hAnsi="Arial"/>
          <w:spacing w:val="-4"/>
          <w:sz w:val="20"/>
        </w:rPr>
        <w:t xml:space="preserve"> </w:t>
      </w:r>
      <w:r w:rsidRPr="00BC3E86">
        <w:rPr>
          <w:rFonts w:ascii="Arial" w:hAnsi="Arial"/>
          <w:sz w:val="20"/>
        </w:rPr>
        <w:t xml:space="preserve">or the override of internal control. </w:t>
      </w:r>
    </w:p>
    <w:p w14:paraId="4680CD71" w14:textId="77777777" w:rsidR="00A13F6C" w:rsidRPr="00BC3E86" w:rsidRDefault="00A13F6C" w:rsidP="00A13F6C">
      <w:pPr>
        <w:pStyle w:val="ListParagraph"/>
        <w:autoSpaceDE w:val="0"/>
        <w:autoSpaceDN w:val="0"/>
        <w:adjustRightInd w:val="0"/>
        <w:spacing w:after="0" w:line="360" w:lineRule="auto"/>
        <w:ind w:left="340"/>
        <w:jc w:val="thaiDistribute"/>
        <w:rPr>
          <w:rFonts w:ascii="Arial" w:hAnsi="Arial"/>
          <w:spacing w:val="-2"/>
          <w:sz w:val="10"/>
          <w:szCs w:val="10"/>
        </w:rPr>
      </w:pPr>
    </w:p>
    <w:p w14:paraId="56564B2E" w14:textId="77777777" w:rsidR="00A13F6C" w:rsidRPr="00BC3E86" w:rsidRDefault="00A13F6C" w:rsidP="00A13F6C">
      <w:pPr>
        <w:pStyle w:val="ListParagraph"/>
        <w:numPr>
          <w:ilvl w:val="0"/>
          <w:numId w:val="21"/>
        </w:numPr>
        <w:autoSpaceDE w:val="0"/>
        <w:autoSpaceDN w:val="0"/>
        <w:adjustRightInd w:val="0"/>
        <w:spacing w:after="0" w:line="360" w:lineRule="auto"/>
        <w:jc w:val="thaiDistribute"/>
        <w:rPr>
          <w:rFonts w:ascii="Arial" w:hAnsi="Arial"/>
          <w:sz w:val="20"/>
        </w:rPr>
      </w:pPr>
      <w:r w:rsidRPr="00BC3E86">
        <w:rPr>
          <w:rFonts w:ascii="Arial" w:hAnsi="Arial"/>
          <w:spacing w:val="-4"/>
          <w:sz w:val="20"/>
        </w:rPr>
        <w:t xml:space="preserve">Obtain an understanding of internal control relevant to the audit </w:t>
      </w:r>
      <w:proofErr w:type="gramStart"/>
      <w:r w:rsidRPr="00BC3E86">
        <w:rPr>
          <w:rFonts w:ascii="Arial" w:hAnsi="Arial"/>
          <w:spacing w:val="-4"/>
          <w:sz w:val="20"/>
        </w:rPr>
        <w:t>in order to</w:t>
      </w:r>
      <w:proofErr w:type="gramEnd"/>
      <w:r w:rsidRPr="00BC3E86">
        <w:rPr>
          <w:rFonts w:ascii="Arial" w:hAnsi="Arial"/>
          <w:spacing w:val="-4"/>
          <w:sz w:val="20"/>
        </w:rPr>
        <w:t xml:space="preserve"> design audit procedures </w:t>
      </w:r>
      <w:r w:rsidRPr="00BC3E86">
        <w:rPr>
          <w:rFonts w:ascii="Arial" w:hAnsi="Arial"/>
          <w:sz w:val="20"/>
        </w:rPr>
        <w:t>that are appropriate in the circumstances, but not for the purpose of expressing an opinion on the effectiveness of the Group’s and the Company’s internal control.</w:t>
      </w:r>
    </w:p>
    <w:p w14:paraId="478F0977" w14:textId="77777777" w:rsidR="00A13F6C" w:rsidRPr="00BC3E86" w:rsidRDefault="00A13F6C" w:rsidP="00A13F6C">
      <w:pPr>
        <w:pStyle w:val="ListParagraph"/>
        <w:autoSpaceDE w:val="0"/>
        <w:autoSpaceDN w:val="0"/>
        <w:adjustRightInd w:val="0"/>
        <w:spacing w:after="0" w:line="360" w:lineRule="auto"/>
        <w:ind w:left="340"/>
        <w:jc w:val="thaiDistribute"/>
        <w:rPr>
          <w:rFonts w:ascii="Arial" w:hAnsi="Arial"/>
          <w:sz w:val="10"/>
          <w:szCs w:val="10"/>
        </w:rPr>
      </w:pPr>
    </w:p>
    <w:p w14:paraId="556AE755" w14:textId="77777777" w:rsidR="00A13F6C" w:rsidRPr="00BC3E86" w:rsidRDefault="00A13F6C" w:rsidP="00A13F6C">
      <w:pPr>
        <w:pStyle w:val="ListParagraph"/>
        <w:numPr>
          <w:ilvl w:val="0"/>
          <w:numId w:val="21"/>
        </w:numPr>
        <w:autoSpaceDE w:val="0"/>
        <w:autoSpaceDN w:val="0"/>
        <w:adjustRightInd w:val="0"/>
        <w:spacing w:after="0" w:line="360" w:lineRule="auto"/>
        <w:jc w:val="thaiDistribute"/>
        <w:rPr>
          <w:rFonts w:ascii="Arial" w:hAnsi="Arial"/>
          <w:sz w:val="20"/>
        </w:rPr>
      </w:pPr>
      <w:r w:rsidRPr="00BC3E86">
        <w:rPr>
          <w:rFonts w:ascii="Arial" w:hAnsi="Arial"/>
          <w:spacing w:val="-2"/>
          <w:sz w:val="20"/>
        </w:rPr>
        <w:t xml:space="preserve">Evaluate the appropriateness of accounting policies used and the reasonableness of accounting </w:t>
      </w:r>
      <w:r w:rsidRPr="00BC3E86">
        <w:rPr>
          <w:rFonts w:ascii="Arial" w:hAnsi="Arial"/>
          <w:sz w:val="20"/>
        </w:rPr>
        <w:t>estimates and related disclosures made by management.</w:t>
      </w:r>
    </w:p>
    <w:p w14:paraId="01397E33" w14:textId="77777777" w:rsidR="00A13F6C" w:rsidRPr="00BC3E86" w:rsidRDefault="00A13F6C" w:rsidP="00A13F6C">
      <w:pPr>
        <w:pStyle w:val="ListParagraph"/>
        <w:autoSpaceDE w:val="0"/>
        <w:autoSpaceDN w:val="0"/>
        <w:adjustRightInd w:val="0"/>
        <w:spacing w:after="0" w:line="360" w:lineRule="auto"/>
        <w:ind w:left="340"/>
        <w:jc w:val="thaiDistribute"/>
        <w:rPr>
          <w:rFonts w:ascii="Arial" w:hAnsi="Arial"/>
          <w:sz w:val="10"/>
          <w:szCs w:val="10"/>
        </w:rPr>
      </w:pPr>
    </w:p>
    <w:p w14:paraId="15AB2799" w14:textId="77777777" w:rsidR="00A13F6C" w:rsidRPr="00E71903" w:rsidRDefault="00A13F6C" w:rsidP="00A13F6C">
      <w:pPr>
        <w:pStyle w:val="ListParagraph"/>
        <w:numPr>
          <w:ilvl w:val="0"/>
          <w:numId w:val="21"/>
        </w:numPr>
        <w:autoSpaceDE w:val="0"/>
        <w:autoSpaceDN w:val="0"/>
        <w:adjustRightInd w:val="0"/>
        <w:spacing w:after="0" w:line="360" w:lineRule="auto"/>
        <w:jc w:val="thaiDistribute"/>
        <w:rPr>
          <w:rFonts w:ascii="Arial" w:hAnsi="Arial"/>
          <w:sz w:val="20"/>
        </w:rPr>
      </w:pPr>
      <w:r w:rsidRPr="00BC3E86">
        <w:rPr>
          <w:rFonts w:ascii="Arial" w:hAnsi="Arial"/>
          <w:spacing w:val="-2"/>
          <w:sz w:val="20"/>
        </w:rPr>
        <w:t xml:space="preserve">Conclude on the appropriateness of management’s use of the going concern basis of accounting </w:t>
      </w:r>
      <w:r w:rsidRPr="00BC3E86">
        <w:rPr>
          <w:rFonts w:ascii="Arial" w:hAnsi="Arial"/>
          <w:spacing w:val="-4"/>
          <w:sz w:val="20"/>
        </w:rPr>
        <w:t>and, based on the audit evidence obtained, whether a material uncertainty exists related to</w:t>
      </w:r>
      <w:r w:rsidRPr="00BC3E86">
        <w:rPr>
          <w:rFonts w:ascii="Arial" w:hAnsi="Arial"/>
          <w:spacing w:val="-2"/>
          <w:sz w:val="20"/>
        </w:rPr>
        <w:t xml:space="preserve"> events or conditions that may cast significant doubt on the Group’s and the Company’s ability to continue as a going concern. </w:t>
      </w:r>
      <w:r w:rsidRPr="00BC3E86">
        <w:rPr>
          <w:rFonts w:ascii="Arial" w:hAnsi="Arial"/>
          <w:spacing w:val="-4"/>
          <w:sz w:val="20"/>
        </w:rPr>
        <w:t>If I conclude that a material uncertainty exists, I am required to draw attention in my auditor’s</w:t>
      </w:r>
      <w:r w:rsidRPr="00BC3E86">
        <w:rPr>
          <w:rFonts w:ascii="Arial" w:hAnsi="Arial"/>
          <w:spacing w:val="-2"/>
          <w:sz w:val="20"/>
        </w:rPr>
        <w:t xml:space="preserve"> report </w:t>
      </w:r>
      <w:r w:rsidRPr="00BC3E86">
        <w:rPr>
          <w:rFonts w:ascii="Arial" w:hAnsi="Arial"/>
          <w:spacing w:val="-6"/>
          <w:sz w:val="20"/>
        </w:rPr>
        <w:t xml:space="preserve">to the related disclosures in the consolidated and separate financial statements </w:t>
      </w:r>
      <w:r w:rsidRPr="00E71903">
        <w:rPr>
          <w:rFonts w:ascii="Arial" w:hAnsi="Arial"/>
          <w:sz w:val="20"/>
        </w:rPr>
        <w:t>or, if such disclosures are inadequate, to modify my opinion. My conclusions are based on the</w:t>
      </w:r>
      <w:r w:rsidRPr="00BC3E86">
        <w:rPr>
          <w:rFonts w:ascii="Arial" w:hAnsi="Arial"/>
          <w:spacing w:val="-2"/>
          <w:sz w:val="20"/>
        </w:rPr>
        <w:t xml:space="preserve"> </w:t>
      </w:r>
      <w:r w:rsidRPr="00E71903">
        <w:rPr>
          <w:rFonts w:ascii="Arial" w:hAnsi="Arial"/>
          <w:spacing w:val="-4"/>
          <w:sz w:val="20"/>
        </w:rPr>
        <w:t xml:space="preserve">audit evidence obtained up to the date of my auditor’s report. However, future events or conditions </w:t>
      </w:r>
      <w:r w:rsidRPr="00E71903">
        <w:rPr>
          <w:rFonts w:ascii="Arial" w:hAnsi="Arial"/>
          <w:sz w:val="20"/>
        </w:rPr>
        <w:t>may cause the Group and the Company to cease to continue as a going concern.</w:t>
      </w:r>
    </w:p>
    <w:p w14:paraId="621ACD7B" w14:textId="77777777" w:rsidR="00A13F6C" w:rsidRPr="00BC3E86" w:rsidRDefault="00A13F6C" w:rsidP="00A13F6C">
      <w:pPr>
        <w:pStyle w:val="ListParagraph"/>
        <w:autoSpaceDE w:val="0"/>
        <w:autoSpaceDN w:val="0"/>
        <w:adjustRightInd w:val="0"/>
        <w:spacing w:after="0" w:line="360" w:lineRule="auto"/>
        <w:ind w:left="340"/>
        <w:jc w:val="thaiDistribute"/>
        <w:rPr>
          <w:rFonts w:ascii="Arial" w:hAnsi="Arial"/>
          <w:sz w:val="10"/>
          <w:szCs w:val="10"/>
        </w:rPr>
      </w:pPr>
    </w:p>
    <w:p w14:paraId="3949D62B" w14:textId="77777777" w:rsidR="00A13F6C" w:rsidRPr="00E71903" w:rsidRDefault="00A13F6C" w:rsidP="00A13F6C">
      <w:pPr>
        <w:pStyle w:val="ListParagraph"/>
        <w:numPr>
          <w:ilvl w:val="0"/>
          <w:numId w:val="21"/>
        </w:numPr>
        <w:autoSpaceDE w:val="0"/>
        <w:autoSpaceDN w:val="0"/>
        <w:adjustRightInd w:val="0"/>
        <w:spacing w:after="0" w:line="360" w:lineRule="auto"/>
        <w:jc w:val="thaiDistribute"/>
        <w:rPr>
          <w:rFonts w:ascii="Arial" w:hAnsi="Arial"/>
          <w:sz w:val="20"/>
        </w:rPr>
      </w:pPr>
      <w:r w:rsidRPr="00E71903">
        <w:rPr>
          <w:rFonts w:ascii="Arial" w:hAnsi="Arial"/>
          <w:spacing w:val="-4"/>
          <w:sz w:val="20"/>
        </w:rPr>
        <w:t>Evaluate the overall presentation, structure and content of the consolidated and separate financial</w:t>
      </w:r>
      <w:r w:rsidRPr="00BC3E86">
        <w:rPr>
          <w:rFonts w:ascii="Arial" w:hAnsi="Arial"/>
          <w:spacing w:val="-2"/>
          <w:sz w:val="20"/>
        </w:rPr>
        <w:t xml:space="preserve"> </w:t>
      </w:r>
      <w:r w:rsidRPr="00E71903">
        <w:rPr>
          <w:rFonts w:ascii="Arial" w:hAnsi="Arial"/>
          <w:sz w:val="20"/>
        </w:rPr>
        <w:t>statements, including the disclosures, and whether the consolidated and separate financial statements represent the underlying transactions and events in a manner that achieves fair presentation.</w:t>
      </w:r>
    </w:p>
    <w:p w14:paraId="60A9EFC2" w14:textId="77777777" w:rsidR="00A13F6C" w:rsidRPr="00E71903" w:rsidRDefault="00A13F6C" w:rsidP="00A13F6C">
      <w:pPr>
        <w:autoSpaceDE w:val="0"/>
        <w:autoSpaceDN w:val="0"/>
        <w:adjustRightInd w:val="0"/>
        <w:spacing w:after="0" w:line="360" w:lineRule="auto"/>
        <w:jc w:val="thaiDistribute"/>
        <w:rPr>
          <w:rFonts w:ascii="Arial" w:hAnsi="Arial"/>
          <w:sz w:val="10"/>
          <w:szCs w:val="10"/>
        </w:rPr>
      </w:pPr>
    </w:p>
    <w:p w14:paraId="725FD1E5" w14:textId="77777777" w:rsidR="00A13F6C" w:rsidRPr="00BC3E86" w:rsidRDefault="00A13F6C" w:rsidP="00A13F6C">
      <w:pPr>
        <w:pStyle w:val="ListParagraph"/>
        <w:numPr>
          <w:ilvl w:val="0"/>
          <w:numId w:val="21"/>
        </w:numPr>
        <w:autoSpaceDE w:val="0"/>
        <w:autoSpaceDN w:val="0"/>
        <w:adjustRightInd w:val="0"/>
        <w:spacing w:after="0" w:line="360" w:lineRule="auto"/>
        <w:jc w:val="thaiDistribute"/>
        <w:rPr>
          <w:rFonts w:ascii="Arial" w:hAnsi="Arial"/>
          <w:sz w:val="20"/>
          <w:cs/>
        </w:rPr>
      </w:pPr>
      <w:r w:rsidRPr="00BC3E86">
        <w:rPr>
          <w:rFonts w:ascii="Arial" w:hAnsi="Arial"/>
          <w:sz w:val="20"/>
        </w:rPr>
        <w:t xml:space="preserve">Plan and perform the group audit to obtain sufficient appropriate audit evidence regarding the financial information of the entities or business units within the Group as a basis for forming an </w:t>
      </w:r>
      <w:r w:rsidRPr="00E71903">
        <w:rPr>
          <w:rFonts w:ascii="Arial" w:hAnsi="Arial"/>
          <w:sz w:val="20"/>
        </w:rPr>
        <w:t>opinion on the group financial statements. I am responsible for the direction, supervision and</w:t>
      </w:r>
      <w:r w:rsidRPr="00BC3E86">
        <w:rPr>
          <w:rFonts w:ascii="Arial" w:hAnsi="Arial"/>
          <w:sz w:val="20"/>
        </w:rPr>
        <w:t xml:space="preserve"> review of the audit work performed for purposes of the group audit. I remain solely responsible for my audit opinion. </w:t>
      </w:r>
    </w:p>
    <w:p w14:paraId="61043806" w14:textId="77777777" w:rsidR="00A13F6C" w:rsidRPr="00BC3E86" w:rsidRDefault="00A13F6C" w:rsidP="00A13F6C">
      <w:pPr>
        <w:pStyle w:val="BodyText"/>
        <w:spacing w:after="0" w:line="360" w:lineRule="auto"/>
        <w:jc w:val="thaiDistribute"/>
        <w:rPr>
          <w:rFonts w:ascii="Arial" w:hAnsi="Arial"/>
          <w:sz w:val="20"/>
        </w:rPr>
      </w:pPr>
    </w:p>
    <w:p w14:paraId="79E62581" w14:textId="77777777" w:rsidR="00A13F6C" w:rsidRPr="00BC3E86" w:rsidRDefault="00A13F6C" w:rsidP="00A13F6C">
      <w:pPr>
        <w:autoSpaceDE w:val="0"/>
        <w:autoSpaceDN w:val="0"/>
        <w:adjustRightInd w:val="0"/>
        <w:spacing w:after="0" w:line="360" w:lineRule="auto"/>
        <w:jc w:val="thaiDistribute"/>
        <w:rPr>
          <w:rFonts w:ascii="Arial" w:hAnsi="Arial"/>
          <w:sz w:val="20"/>
        </w:rPr>
      </w:pPr>
      <w:r w:rsidRPr="00BC3E86">
        <w:rPr>
          <w:rFonts w:ascii="Arial" w:hAnsi="Arial"/>
          <w:sz w:val="2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D39B237" w14:textId="70723211" w:rsidR="00A13F6C" w:rsidRDefault="00A13F6C" w:rsidP="00A13F6C">
      <w:pPr>
        <w:autoSpaceDE w:val="0"/>
        <w:autoSpaceDN w:val="0"/>
        <w:adjustRightInd w:val="0"/>
        <w:spacing w:after="0" w:line="360" w:lineRule="auto"/>
        <w:jc w:val="both"/>
        <w:rPr>
          <w:rFonts w:ascii="Arial" w:hAnsi="Arial"/>
          <w:sz w:val="20"/>
        </w:rPr>
      </w:pPr>
    </w:p>
    <w:p w14:paraId="67F79D6D" w14:textId="215F4421" w:rsidR="006860F3" w:rsidRDefault="006860F3" w:rsidP="00A13F6C">
      <w:pPr>
        <w:autoSpaceDE w:val="0"/>
        <w:autoSpaceDN w:val="0"/>
        <w:adjustRightInd w:val="0"/>
        <w:spacing w:after="0" w:line="360" w:lineRule="auto"/>
        <w:jc w:val="both"/>
        <w:rPr>
          <w:rFonts w:ascii="Arial" w:hAnsi="Arial"/>
          <w:sz w:val="20"/>
        </w:rPr>
      </w:pPr>
    </w:p>
    <w:p w14:paraId="5EC55E2F" w14:textId="77777777" w:rsidR="006860F3" w:rsidRPr="00BC3E86" w:rsidRDefault="006860F3" w:rsidP="00A13F6C">
      <w:pPr>
        <w:autoSpaceDE w:val="0"/>
        <w:autoSpaceDN w:val="0"/>
        <w:adjustRightInd w:val="0"/>
        <w:spacing w:after="0" w:line="360" w:lineRule="auto"/>
        <w:jc w:val="both"/>
        <w:rPr>
          <w:rFonts w:ascii="Arial" w:hAnsi="Arial"/>
          <w:sz w:val="20"/>
        </w:rPr>
      </w:pPr>
    </w:p>
    <w:p w14:paraId="79768E44" w14:textId="77777777" w:rsidR="00A13F6C" w:rsidRPr="00E71903" w:rsidRDefault="00A13F6C" w:rsidP="00A13F6C">
      <w:pPr>
        <w:autoSpaceDE w:val="0"/>
        <w:autoSpaceDN w:val="0"/>
        <w:adjustRightInd w:val="0"/>
        <w:spacing w:after="0" w:line="360" w:lineRule="auto"/>
        <w:jc w:val="thaiDistribute"/>
        <w:rPr>
          <w:rFonts w:ascii="Arial" w:hAnsi="Arial"/>
          <w:sz w:val="20"/>
        </w:rPr>
      </w:pPr>
      <w:r w:rsidRPr="00BC3E86">
        <w:rPr>
          <w:rFonts w:ascii="Arial" w:hAnsi="Arial"/>
          <w:sz w:val="20"/>
        </w:rPr>
        <w:lastRenderedPageBreak/>
        <w:t xml:space="preserve">I also provide those charged with governance with a statement that I have complied with relevant ethical requirements regarding independence, and to communicate with them all relationships and </w:t>
      </w:r>
      <w:r w:rsidRPr="00E71903">
        <w:rPr>
          <w:rFonts w:ascii="Arial" w:hAnsi="Arial"/>
          <w:spacing w:val="-4"/>
          <w:sz w:val="20"/>
        </w:rPr>
        <w:t xml:space="preserve">other matters that may reasonably be thought to bear on my independence, actions taken to eliminate </w:t>
      </w:r>
      <w:r w:rsidRPr="00E71903">
        <w:rPr>
          <w:rFonts w:ascii="Arial" w:hAnsi="Arial"/>
          <w:sz w:val="20"/>
        </w:rPr>
        <w:t>threats or safeguards applied.</w:t>
      </w:r>
    </w:p>
    <w:p w14:paraId="543CBFF0" w14:textId="77777777" w:rsidR="00A13F6C" w:rsidRPr="00E71903" w:rsidRDefault="00A13F6C" w:rsidP="00A13F6C">
      <w:pPr>
        <w:autoSpaceDE w:val="0"/>
        <w:autoSpaceDN w:val="0"/>
        <w:adjustRightInd w:val="0"/>
        <w:spacing w:after="0" w:line="360" w:lineRule="auto"/>
        <w:jc w:val="both"/>
        <w:rPr>
          <w:rFonts w:ascii="Arial" w:hAnsi="Arial"/>
          <w:sz w:val="16"/>
          <w:szCs w:val="16"/>
        </w:rPr>
      </w:pPr>
    </w:p>
    <w:p w14:paraId="399C3022" w14:textId="77777777" w:rsidR="00A13F6C" w:rsidRPr="00E71903" w:rsidRDefault="00A13F6C" w:rsidP="00A13F6C">
      <w:pPr>
        <w:autoSpaceDE w:val="0"/>
        <w:autoSpaceDN w:val="0"/>
        <w:adjustRightInd w:val="0"/>
        <w:spacing w:after="0" w:line="360" w:lineRule="auto"/>
        <w:jc w:val="thaiDistribute"/>
        <w:rPr>
          <w:rFonts w:ascii="Arial" w:hAnsi="Arial"/>
          <w:sz w:val="20"/>
        </w:rPr>
      </w:pPr>
      <w:r w:rsidRPr="00BC3E86">
        <w:rPr>
          <w:rFonts w:ascii="Arial" w:hAnsi="Arial"/>
          <w:spacing w:val="-2"/>
          <w:sz w:val="20"/>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w:t>
      </w:r>
      <w:r w:rsidRPr="00E71903">
        <w:rPr>
          <w:rFonts w:ascii="Arial" w:hAnsi="Arial"/>
          <w:sz w:val="20"/>
        </w:rPr>
        <w:t>circumstances, I determine that a matter should not be communicated in my report because the</w:t>
      </w:r>
      <w:r w:rsidRPr="00BC3E86">
        <w:rPr>
          <w:rFonts w:ascii="Arial" w:hAnsi="Arial"/>
          <w:spacing w:val="-2"/>
          <w:sz w:val="20"/>
        </w:rPr>
        <w:t xml:space="preserve"> adverse consequences of doing so would reasonably be expected to outweigh the public interest </w:t>
      </w:r>
      <w:r w:rsidRPr="00E71903">
        <w:rPr>
          <w:rFonts w:ascii="Arial" w:hAnsi="Arial"/>
          <w:sz w:val="20"/>
        </w:rPr>
        <w:t>benefits of such communication.</w:t>
      </w:r>
    </w:p>
    <w:p w14:paraId="54C5D57C" w14:textId="77777777" w:rsidR="00030AF1" w:rsidRPr="00363F6A" w:rsidRDefault="00030AF1" w:rsidP="00030AF1">
      <w:pPr>
        <w:pStyle w:val="BodyText"/>
        <w:spacing w:after="0" w:line="360" w:lineRule="auto"/>
        <w:rPr>
          <w:rFonts w:ascii="Arial" w:hAnsi="Arial"/>
          <w:sz w:val="20"/>
          <w:lang w:val="en-US"/>
        </w:rPr>
      </w:pPr>
    </w:p>
    <w:p w14:paraId="449BC6BF" w14:textId="77777777" w:rsidR="00030AF1" w:rsidRPr="00363F6A" w:rsidRDefault="00030AF1" w:rsidP="00030AF1">
      <w:pPr>
        <w:pStyle w:val="BodyText"/>
        <w:spacing w:after="0" w:line="360" w:lineRule="auto"/>
        <w:rPr>
          <w:rFonts w:ascii="Arial" w:hAnsi="Arial"/>
          <w:sz w:val="20"/>
        </w:rPr>
      </w:pPr>
    </w:p>
    <w:p w14:paraId="272458EB" w14:textId="77777777" w:rsidR="00030AF1" w:rsidRPr="00363F6A" w:rsidRDefault="00030AF1" w:rsidP="00030AF1">
      <w:pPr>
        <w:pStyle w:val="BodyText"/>
        <w:spacing w:after="0" w:line="360" w:lineRule="auto"/>
        <w:rPr>
          <w:rFonts w:ascii="Arial" w:hAnsi="Arial"/>
          <w:sz w:val="20"/>
        </w:rPr>
      </w:pPr>
    </w:p>
    <w:p w14:paraId="3873E672" w14:textId="77777777" w:rsidR="00030AF1" w:rsidRPr="00363F6A" w:rsidRDefault="00030AF1" w:rsidP="00030AF1">
      <w:pPr>
        <w:pStyle w:val="BodyText"/>
        <w:spacing w:after="0" w:line="360" w:lineRule="auto"/>
        <w:rPr>
          <w:rFonts w:ascii="Arial" w:hAnsi="Arial"/>
          <w:sz w:val="20"/>
        </w:rPr>
      </w:pPr>
    </w:p>
    <w:p w14:paraId="515C6A4C" w14:textId="77777777" w:rsidR="00030AF1" w:rsidRPr="00363F6A" w:rsidRDefault="00030AF1" w:rsidP="00030AF1">
      <w:pPr>
        <w:pStyle w:val="BodyText"/>
        <w:spacing w:after="0" w:line="360" w:lineRule="auto"/>
        <w:rPr>
          <w:rFonts w:ascii="Arial" w:hAnsi="Arial"/>
          <w:sz w:val="20"/>
        </w:rPr>
      </w:pPr>
    </w:p>
    <w:p w14:paraId="6166B901" w14:textId="77777777" w:rsidR="00030AF1" w:rsidRPr="00363F6A" w:rsidRDefault="00030AF1" w:rsidP="00030AF1">
      <w:pPr>
        <w:pStyle w:val="BodyText"/>
        <w:spacing w:after="0" w:line="360" w:lineRule="auto"/>
        <w:rPr>
          <w:rFonts w:ascii="Arial" w:hAnsi="Arial"/>
          <w:sz w:val="16"/>
          <w:szCs w:val="16"/>
        </w:rPr>
      </w:pPr>
    </w:p>
    <w:p w14:paraId="1420A049" w14:textId="1E4CB862" w:rsidR="00C424D4" w:rsidRPr="00363F6A" w:rsidRDefault="00C424D4" w:rsidP="00C424D4">
      <w:pPr>
        <w:pStyle w:val="RNormal"/>
        <w:spacing w:line="360" w:lineRule="auto"/>
        <w:jc w:val="thaiDistribute"/>
        <w:rPr>
          <w:rFonts w:ascii="Arial" w:hAnsi="Arial" w:cs="Arial"/>
          <w:b/>
          <w:bCs/>
          <w:sz w:val="20"/>
          <w:szCs w:val="20"/>
        </w:rPr>
      </w:pPr>
      <w:r w:rsidRPr="00363F6A">
        <w:rPr>
          <w:rFonts w:ascii="Arial" w:hAnsi="Arial" w:cs="Arial"/>
          <w:b/>
          <w:bCs/>
          <w:sz w:val="20"/>
          <w:szCs w:val="20"/>
        </w:rPr>
        <w:t>Miss Witita Sujitranuch</w:t>
      </w:r>
    </w:p>
    <w:p w14:paraId="42B1D168" w14:textId="77777777" w:rsidR="00C424D4" w:rsidRPr="00363F6A" w:rsidRDefault="00C424D4" w:rsidP="00C424D4">
      <w:pPr>
        <w:pStyle w:val="RNormal"/>
        <w:spacing w:line="360" w:lineRule="auto"/>
        <w:rPr>
          <w:rFonts w:ascii="Arial" w:hAnsi="Arial" w:cs="Arial"/>
          <w:sz w:val="20"/>
          <w:szCs w:val="20"/>
        </w:rPr>
      </w:pPr>
      <w:r w:rsidRPr="00363F6A">
        <w:rPr>
          <w:rFonts w:ascii="Arial" w:hAnsi="Arial" w:cs="Arial"/>
          <w:sz w:val="20"/>
          <w:szCs w:val="20"/>
        </w:rPr>
        <w:t>Certified Public Accountant</w:t>
      </w:r>
    </w:p>
    <w:p w14:paraId="3ABB6829" w14:textId="77777777" w:rsidR="00C424D4" w:rsidRPr="00363F6A" w:rsidRDefault="00C424D4" w:rsidP="00C424D4">
      <w:pPr>
        <w:pStyle w:val="RNormal"/>
        <w:spacing w:line="360" w:lineRule="auto"/>
        <w:rPr>
          <w:rFonts w:ascii="Arial" w:hAnsi="Arial" w:cs="Arial"/>
          <w:sz w:val="20"/>
          <w:szCs w:val="20"/>
          <w:lang w:bidi="th-TH"/>
        </w:rPr>
      </w:pPr>
      <w:r w:rsidRPr="00363F6A">
        <w:rPr>
          <w:rFonts w:ascii="Arial" w:hAnsi="Arial" w:cs="Arial"/>
          <w:sz w:val="20"/>
          <w:szCs w:val="20"/>
        </w:rPr>
        <w:t>Registration No.7408</w:t>
      </w:r>
    </w:p>
    <w:p w14:paraId="4297BD84" w14:textId="77777777" w:rsidR="00C424D4" w:rsidRPr="00363F6A" w:rsidRDefault="00C424D4" w:rsidP="00C424D4">
      <w:pPr>
        <w:pStyle w:val="BodyText"/>
        <w:spacing w:after="0" w:line="360" w:lineRule="auto"/>
        <w:jc w:val="thaiDistribute"/>
        <w:rPr>
          <w:rFonts w:ascii="Arial" w:hAnsi="Arial"/>
          <w:sz w:val="20"/>
          <w:lang w:val="en-US"/>
        </w:rPr>
      </w:pPr>
    </w:p>
    <w:p w14:paraId="524E5BE0" w14:textId="77777777" w:rsidR="00C424D4" w:rsidRPr="00363F6A" w:rsidRDefault="00C424D4" w:rsidP="00C424D4">
      <w:pPr>
        <w:pStyle w:val="BodyText"/>
        <w:spacing w:after="0" w:line="360" w:lineRule="auto"/>
        <w:jc w:val="thaiDistribute"/>
        <w:rPr>
          <w:rFonts w:ascii="Arial" w:hAnsi="Arial"/>
          <w:sz w:val="20"/>
        </w:rPr>
      </w:pPr>
      <w:r w:rsidRPr="00363F6A">
        <w:rPr>
          <w:rFonts w:ascii="Arial" w:hAnsi="Arial"/>
          <w:sz w:val="20"/>
          <w:lang w:val="en-US" w:bidi="th-TH"/>
        </w:rPr>
        <w:t>Proud in Pro Co., Ltd.</w:t>
      </w:r>
    </w:p>
    <w:p w14:paraId="232781EF" w14:textId="77777777" w:rsidR="00C424D4" w:rsidRPr="00363F6A" w:rsidRDefault="00C424D4" w:rsidP="00C424D4">
      <w:pPr>
        <w:pStyle w:val="BodyText"/>
        <w:spacing w:after="0" w:line="360" w:lineRule="auto"/>
        <w:jc w:val="thaiDistribute"/>
        <w:rPr>
          <w:rFonts w:ascii="Arial" w:hAnsi="Arial"/>
          <w:sz w:val="20"/>
        </w:rPr>
      </w:pPr>
      <w:r w:rsidRPr="00363F6A">
        <w:rPr>
          <w:rFonts w:ascii="Arial" w:hAnsi="Arial"/>
          <w:sz w:val="20"/>
        </w:rPr>
        <w:t>Bangkok</w:t>
      </w:r>
    </w:p>
    <w:p w14:paraId="3E673F28" w14:textId="7CC67584" w:rsidR="005428F3" w:rsidRPr="00363F6A" w:rsidRDefault="00C424D4" w:rsidP="00030AF1">
      <w:pPr>
        <w:pStyle w:val="BodyText"/>
        <w:spacing w:after="0" w:line="360" w:lineRule="auto"/>
        <w:jc w:val="thaiDistribute"/>
        <w:rPr>
          <w:rFonts w:ascii="Arial" w:hAnsi="Arial"/>
          <w:sz w:val="20"/>
          <w:lang w:bidi="th-TH"/>
        </w:rPr>
      </w:pPr>
      <w:r w:rsidRPr="00363F6A">
        <w:rPr>
          <w:rFonts w:ascii="Arial" w:hAnsi="Arial"/>
          <w:sz w:val="20"/>
          <w:lang w:val="en-US" w:bidi="th-TH"/>
        </w:rPr>
        <w:t>2</w:t>
      </w:r>
      <w:r w:rsidR="00024F10" w:rsidRPr="00363F6A">
        <w:rPr>
          <w:rFonts w:ascii="Arial" w:hAnsi="Arial"/>
          <w:sz w:val="20"/>
          <w:lang w:val="en-US" w:bidi="th-TH"/>
        </w:rPr>
        <w:t>7</w:t>
      </w:r>
      <w:r w:rsidR="00030AF1" w:rsidRPr="00363F6A">
        <w:rPr>
          <w:rFonts w:ascii="Arial" w:hAnsi="Arial"/>
          <w:sz w:val="20"/>
          <w:lang w:val="en-US" w:bidi="th-TH"/>
        </w:rPr>
        <w:t xml:space="preserve"> February 202</w:t>
      </w:r>
      <w:r w:rsidR="00271B08" w:rsidRPr="00363F6A">
        <w:rPr>
          <w:rFonts w:ascii="Arial" w:hAnsi="Arial"/>
          <w:sz w:val="20"/>
          <w:lang w:val="en-US" w:bidi="th-TH"/>
        </w:rPr>
        <w:t>6</w:t>
      </w:r>
    </w:p>
    <w:sectPr w:rsidR="005428F3" w:rsidRPr="00363F6A" w:rsidSect="006860F3">
      <w:headerReference w:type="default" r:id="rId12"/>
      <w:footerReference w:type="default" r:id="rId13"/>
      <w:pgSz w:w="11907" w:h="16840" w:code="9"/>
      <w:pgMar w:top="1872" w:right="1008" w:bottom="576" w:left="2304" w:header="677" w:footer="64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B69FE" w14:textId="77777777" w:rsidR="00CE5EBC" w:rsidRDefault="00CE5EBC">
      <w:r>
        <w:separator/>
      </w:r>
    </w:p>
  </w:endnote>
  <w:endnote w:type="continuationSeparator" w:id="0">
    <w:p w14:paraId="1F2E52CB" w14:textId="77777777" w:rsidR="00CE5EBC" w:rsidRDefault="00CE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C52CC" w14:textId="58874C07" w:rsidR="00542DEF" w:rsidRPr="006860F3" w:rsidRDefault="00542DEF" w:rsidP="00686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49F1B" w14:textId="77777777" w:rsidR="00CE5EBC" w:rsidRDefault="00CE5EBC">
      <w:r>
        <w:separator/>
      </w:r>
    </w:p>
  </w:footnote>
  <w:footnote w:type="continuationSeparator" w:id="0">
    <w:p w14:paraId="724FAC78" w14:textId="77777777" w:rsidR="00CE5EBC" w:rsidRDefault="00CE5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5920A" w14:textId="4B23D133" w:rsidR="005428F3" w:rsidRDefault="005428F3" w:rsidP="00271B08">
    <w:pPr>
      <w:pStyle w:val="Header"/>
      <w:tabs>
        <w:tab w:val="left" w:pos="5328"/>
      </w:tabs>
      <w:spacing w:after="1200"/>
    </w:pPr>
  </w:p>
  <w:p w14:paraId="65F3350F" w14:textId="38ABC360" w:rsidR="00030AF1" w:rsidRPr="00271B08" w:rsidRDefault="00030AF1" w:rsidP="00271B08">
    <w:pPr>
      <w:pStyle w:val="Header"/>
      <w:tabs>
        <w:tab w:val="clear" w:pos="8562"/>
        <w:tab w:val="left" w:pos="5328"/>
      </w:tabs>
      <w:spacing w:after="1200" w:line="360" w:lineRule="auto"/>
      <w:rPr>
        <w:rFonts w:ascii="Arial" w:hAnsi="Arial"/>
        <w:sz w:val="24"/>
        <w:szCs w:val="24"/>
      </w:rPr>
    </w:pPr>
    <w:bookmarkStart w:id="0" w:name="Footer3_tbl"/>
    <w:bookmarkEnd w:id="0"/>
    <w:r w:rsidRPr="00271B08">
      <w:rPr>
        <w:rFonts w:ascii="Arial" w:hAnsi="Arial"/>
        <w:noProof/>
        <w:color w:val="auto"/>
        <w:sz w:val="24"/>
        <w:szCs w:val="24"/>
        <w:lang w:eastAsia="en-GB"/>
      </w:rPr>
      <w:t>INDEPENDENT AUDITOR’S REPORT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395FE" w14:textId="4B8B5A6F" w:rsidR="00C53AB1" w:rsidRDefault="00C53AB1" w:rsidP="005428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2C20C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FCEE7E"/>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A8AAEF8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EB8655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75F54AB"/>
    <w:multiLevelType w:val="hybridMultilevel"/>
    <w:tmpl w:val="9A2AE798"/>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F8B3149"/>
    <w:multiLevelType w:val="multilevel"/>
    <w:tmpl w:val="DE8C5806"/>
    <w:lvl w:ilvl="0">
      <w:start w:val="1"/>
      <w:numFmt w:val="bullet"/>
      <w:lvlText w:val=""/>
      <w:lvlJc w:val="left"/>
      <w:pPr>
        <w:tabs>
          <w:tab w:val="num" w:pos="284"/>
        </w:tabs>
        <w:ind w:left="284" w:hanging="284"/>
      </w:pPr>
      <w:rPr>
        <w:rFonts w:ascii="Symbol" w:hAnsi="Symbol" w:hint="default"/>
        <w:color w:val="E92841" w:themeColor="accent6"/>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D545A"/>
    <w:multiLevelType w:val="multilevel"/>
    <w:tmpl w:val="36A48066"/>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BA976CF"/>
    <w:multiLevelType w:val="multilevel"/>
    <w:tmpl w:val="98FC98AC"/>
    <w:numStyleLink w:val="GTListNumber"/>
  </w:abstractNum>
  <w:abstractNum w:abstractNumId="14" w15:restartNumberingAfterBreak="0">
    <w:nsid w:val="46600B1A"/>
    <w:multiLevelType w:val="hybridMultilevel"/>
    <w:tmpl w:val="1D78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32420"/>
    <w:multiLevelType w:val="multilevel"/>
    <w:tmpl w:val="FAE6F968"/>
    <w:numStyleLink w:val="GTListBullet"/>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7710499"/>
    <w:multiLevelType w:val="hybridMultilevel"/>
    <w:tmpl w:val="0570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924C95"/>
    <w:multiLevelType w:val="multilevel"/>
    <w:tmpl w:val="0D561ACA"/>
    <w:numStyleLink w:val="GTNumberedHeadings"/>
  </w:abstractNum>
  <w:num w:numId="1">
    <w:abstractNumId w:val="7"/>
  </w:num>
  <w:num w:numId="2">
    <w:abstractNumId w:val="5"/>
  </w:num>
  <w:num w:numId="3">
    <w:abstractNumId w:val="5"/>
  </w:num>
  <w:num w:numId="4">
    <w:abstractNumId w:val="12"/>
  </w:num>
  <w:num w:numId="5">
    <w:abstractNumId w:val="20"/>
  </w:num>
  <w:num w:numId="6">
    <w:abstractNumId w:val="18"/>
  </w:num>
  <w:num w:numId="7">
    <w:abstractNumId w:val="16"/>
  </w:num>
  <w:num w:numId="8">
    <w:abstractNumId w:val="4"/>
  </w:num>
  <w:num w:numId="9">
    <w:abstractNumId w:val="9"/>
  </w:num>
  <w:num w:numId="10">
    <w:abstractNumId w:val="8"/>
  </w:num>
  <w:num w:numId="11">
    <w:abstractNumId w:val="9"/>
  </w:num>
  <w:num w:numId="12">
    <w:abstractNumId w:val="17"/>
  </w:num>
  <w:num w:numId="13">
    <w:abstractNumId w:val="13"/>
  </w:num>
  <w:num w:numId="14">
    <w:abstractNumId w:val="3"/>
  </w:num>
  <w:num w:numId="15">
    <w:abstractNumId w:val="2"/>
  </w:num>
  <w:num w:numId="16">
    <w:abstractNumId w:val="1"/>
  </w:num>
  <w:num w:numId="17">
    <w:abstractNumId w:val="0"/>
  </w:num>
  <w:num w:numId="18">
    <w:abstractNumId w:val="15"/>
  </w:num>
  <w:num w:numId="19">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1"/>
  </w:num>
  <w:num w:numId="22">
    <w:abstractNumId w:val="19"/>
  </w:num>
  <w:num w:numId="23">
    <w:abstractNumId w:val="14"/>
  </w:num>
  <w:num w:numId="2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confidentiality" w:val="© 2011 Grant Thornton International Ltd. All rights reserved."/>
    <w:docVar w:name="dv_logo_file" w:val="GTlogo-RGB-135.jpg"/>
    <w:docVar w:name="dv_logo2_file" w:val="GTlogo-RGB9mm.jpg"/>
    <w:docVar w:name="dv_page_header" w:val="Header"/>
    <w:docVar w:name="dv_partners" w:val="false"/>
    <w:docVar w:name="dv_select_office" w:val="TRUE"/>
    <w:docVar w:name="dv_senders_designation" w:val="For Grant Thornton International"/>
    <w:docVar w:name="dv_statement" w:val="© 2011 Grant Thornton International Ltd. All rights reserved."/>
    <w:docVar w:name="dv_trad_addr" w:val="Address Line 1_x000d__x000a_Address Line 2_x000d__x000a_Address Line 3_x000d__x000a_Address Line 4"/>
    <w:docVar w:name="dv_trad_fax" w:val="+XX (X)XX XXX XXXX"/>
    <w:docVar w:name="dv_trad_name" w:val="Trading Name"/>
    <w:docVar w:name="dv_trad_tel" w:val="+XX (X)XX XXX XXXX"/>
    <w:docVar w:name="dv_trad_web" w:val="www.gti.org"/>
  </w:docVars>
  <w:rsids>
    <w:rsidRoot w:val="008E2235"/>
    <w:rsid w:val="00002B85"/>
    <w:rsid w:val="00004EF0"/>
    <w:rsid w:val="00010A43"/>
    <w:rsid w:val="000129FC"/>
    <w:rsid w:val="00013749"/>
    <w:rsid w:val="00024F10"/>
    <w:rsid w:val="00030AF1"/>
    <w:rsid w:val="00036890"/>
    <w:rsid w:val="00045178"/>
    <w:rsid w:val="00065D66"/>
    <w:rsid w:val="00066577"/>
    <w:rsid w:val="00074284"/>
    <w:rsid w:val="00075825"/>
    <w:rsid w:val="00082E8D"/>
    <w:rsid w:val="0008398C"/>
    <w:rsid w:val="000925DD"/>
    <w:rsid w:val="000A1963"/>
    <w:rsid w:val="000A4DFB"/>
    <w:rsid w:val="000A4EA4"/>
    <w:rsid w:val="000A5471"/>
    <w:rsid w:val="000A752F"/>
    <w:rsid w:val="000B410B"/>
    <w:rsid w:val="000B4AB7"/>
    <w:rsid w:val="000D59B2"/>
    <w:rsid w:val="000F24FC"/>
    <w:rsid w:val="000F4D95"/>
    <w:rsid w:val="000F5999"/>
    <w:rsid w:val="000F7802"/>
    <w:rsid w:val="001052FE"/>
    <w:rsid w:val="001164CD"/>
    <w:rsid w:val="0012340D"/>
    <w:rsid w:val="00130B7B"/>
    <w:rsid w:val="001337B5"/>
    <w:rsid w:val="00134396"/>
    <w:rsid w:val="001347BC"/>
    <w:rsid w:val="001366D0"/>
    <w:rsid w:val="001370AD"/>
    <w:rsid w:val="00140B5A"/>
    <w:rsid w:val="00143EB2"/>
    <w:rsid w:val="001558F7"/>
    <w:rsid w:val="00160746"/>
    <w:rsid w:val="0016701C"/>
    <w:rsid w:val="00167CAC"/>
    <w:rsid w:val="0017293C"/>
    <w:rsid w:val="0018474E"/>
    <w:rsid w:val="00186868"/>
    <w:rsid w:val="00187A66"/>
    <w:rsid w:val="0019211E"/>
    <w:rsid w:val="00192CE7"/>
    <w:rsid w:val="00194706"/>
    <w:rsid w:val="00197471"/>
    <w:rsid w:val="0019793F"/>
    <w:rsid w:val="001A1193"/>
    <w:rsid w:val="001B485F"/>
    <w:rsid w:val="001B6557"/>
    <w:rsid w:val="001D5D48"/>
    <w:rsid w:val="001D74FF"/>
    <w:rsid w:val="001E7FFB"/>
    <w:rsid w:val="001F1AF0"/>
    <w:rsid w:val="001F282A"/>
    <w:rsid w:val="00203A5E"/>
    <w:rsid w:val="00203B9A"/>
    <w:rsid w:val="00205F8C"/>
    <w:rsid w:val="00223C38"/>
    <w:rsid w:val="00227D43"/>
    <w:rsid w:val="0023112A"/>
    <w:rsid w:val="00232894"/>
    <w:rsid w:val="00237BD1"/>
    <w:rsid w:val="00240935"/>
    <w:rsid w:val="00241406"/>
    <w:rsid w:val="00241656"/>
    <w:rsid w:val="00246DFA"/>
    <w:rsid w:val="00251726"/>
    <w:rsid w:val="00254B3A"/>
    <w:rsid w:val="002578FF"/>
    <w:rsid w:val="00262326"/>
    <w:rsid w:val="0026290B"/>
    <w:rsid w:val="002637ED"/>
    <w:rsid w:val="00271B08"/>
    <w:rsid w:val="00271B1E"/>
    <w:rsid w:val="002729F9"/>
    <w:rsid w:val="00275092"/>
    <w:rsid w:val="00285E1E"/>
    <w:rsid w:val="002940CA"/>
    <w:rsid w:val="002A2FB2"/>
    <w:rsid w:val="002A6E69"/>
    <w:rsid w:val="002C4B82"/>
    <w:rsid w:val="002D139D"/>
    <w:rsid w:val="002D2DC5"/>
    <w:rsid w:val="002D4558"/>
    <w:rsid w:val="002E120F"/>
    <w:rsid w:val="002F2027"/>
    <w:rsid w:val="002F534C"/>
    <w:rsid w:val="0030029A"/>
    <w:rsid w:val="00300833"/>
    <w:rsid w:val="003032F4"/>
    <w:rsid w:val="0030362F"/>
    <w:rsid w:val="003213C5"/>
    <w:rsid w:val="003249AD"/>
    <w:rsid w:val="00325122"/>
    <w:rsid w:val="00331410"/>
    <w:rsid w:val="00344313"/>
    <w:rsid w:val="003462D8"/>
    <w:rsid w:val="0035003D"/>
    <w:rsid w:val="00354166"/>
    <w:rsid w:val="00355E7D"/>
    <w:rsid w:val="00363F6A"/>
    <w:rsid w:val="003704CE"/>
    <w:rsid w:val="003720FC"/>
    <w:rsid w:val="00373BA9"/>
    <w:rsid w:val="003762FC"/>
    <w:rsid w:val="00381F01"/>
    <w:rsid w:val="003845B2"/>
    <w:rsid w:val="00387F2F"/>
    <w:rsid w:val="00390019"/>
    <w:rsid w:val="003904B2"/>
    <w:rsid w:val="003A4E4A"/>
    <w:rsid w:val="003B5657"/>
    <w:rsid w:val="003C037C"/>
    <w:rsid w:val="003C1511"/>
    <w:rsid w:val="003C2973"/>
    <w:rsid w:val="003C2CA0"/>
    <w:rsid w:val="003D0B36"/>
    <w:rsid w:val="003E11E5"/>
    <w:rsid w:val="003F1F78"/>
    <w:rsid w:val="00400DFB"/>
    <w:rsid w:val="00401CB2"/>
    <w:rsid w:val="004035B5"/>
    <w:rsid w:val="00407394"/>
    <w:rsid w:val="00407FBE"/>
    <w:rsid w:val="00423D5B"/>
    <w:rsid w:val="00424F6C"/>
    <w:rsid w:val="00425244"/>
    <w:rsid w:val="00433238"/>
    <w:rsid w:val="00435EA1"/>
    <w:rsid w:val="00441D97"/>
    <w:rsid w:val="004561C3"/>
    <w:rsid w:val="00461097"/>
    <w:rsid w:val="00461E93"/>
    <w:rsid w:val="00462B97"/>
    <w:rsid w:val="00471150"/>
    <w:rsid w:val="00476FEE"/>
    <w:rsid w:val="00481F79"/>
    <w:rsid w:val="00487079"/>
    <w:rsid w:val="004952F5"/>
    <w:rsid w:val="004957A1"/>
    <w:rsid w:val="004A652A"/>
    <w:rsid w:val="004C1FE9"/>
    <w:rsid w:val="004C3CDC"/>
    <w:rsid w:val="004D18B1"/>
    <w:rsid w:val="004D1EB2"/>
    <w:rsid w:val="004E3A82"/>
    <w:rsid w:val="004E5F46"/>
    <w:rsid w:val="004F1013"/>
    <w:rsid w:val="004F6078"/>
    <w:rsid w:val="0051236B"/>
    <w:rsid w:val="00513853"/>
    <w:rsid w:val="0051765E"/>
    <w:rsid w:val="005216D3"/>
    <w:rsid w:val="00523CD5"/>
    <w:rsid w:val="005240BC"/>
    <w:rsid w:val="0052705B"/>
    <w:rsid w:val="00535D67"/>
    <w:rsid w:val="00536222"/>
    <w:rsid w:val="0054242F"/>
    <w:rsid w:val="005428F3"/>
    <w:rsid w:val="00542DEF"/>
    <w:rsid w:val="00553170"/>
    <w:rsid w:val="0055434C"/>
    <w:rsid w:val="00560836"/>
    <w:rsid w:val="00561C73"/>
    <w:rsid w:val="005625F5"/>
    <w:rsid w:val="00566F09"/>
    <w:rsid w:val="00583CAD"/>
    <w:rsid w:val="00585D4B"/>
    <w:rsid w:val="005A066F"/>
    <w:rsid w:val="005A30EF"/>
    <w:rsid w:val="005A7EE1"/>
    <w:rsid w:val="005B19A5"/>
    <w:rsid w:val="005B511A"/>
    <w:rsid w:val="005B65D4"/>
    <w:rsid w:val="005B7A11"/>
    <w:rsid w:val="005B7C98"/>
    <w:rsid w:val="005C1C5A"/>
    <w:rsid w:val="005C652C"/>
    <w:rsid w:val="005C6CDE"/>
    <w:rsid w:val="005D5A4E"/>
    <w:rsid w:val="005E027C"/>
    <w:rsid w:val="005E6A34"/>
    <w:rsid w:val="005F09CF"/>
    <w:rsid w:val="005F104B"/>
    <w:rsid w:val="005F4986"/>
    <w:rsid w:val="005F6475"/>
    <w:rsid w:val="005F7C6B"/>
    <w:rsid w:val="00607D66"/>
    <w:rsid w:val="0061135E"/>
    <w:rsid w:val="00614BE4"/>
    <w:rsid w:val="00617403"/>
    <w:rsid w:val="00617718"/>
    <w:rsid w:val="00621659"/>
    <w:rsid w:val="006311B1"/>
    <w:rsid w:val="00634500"/>
    <w:rsid w:val="00641CAA"/>
    <w:rsid w:val="0064317C"/>
    <w:rsid w:val="0065033C"/>
    <w:rsid w:val="0066440E"/>
    <w:rsid w:val="0067077B"/>
    <w:rsid w:val="00677715"/>
    <w:rsid w:val="006805D5"/>
    <w:rsid w:val="006860F3"/>
    <w:rsid w:val="006909F2"/>
    <w:rsid w:val="00697999"/>
    <w:rsid w:val="006A2200"/>
    <w:rsid w:val="006A3342"/>
    <w:rsid w:val="006A713C"/>
    <w:rsid w:val="006B1E0A"/>
    <w:rsid w:val="006B328B"/>
    <w:rsid w:val="006C16F2"/>
    <w:rsid w:val="006C3454"/>
    <w:rsid w:val="006C53DA"/>
    <w:rsid w:val="006C54B4"/>
    <w:rsid w:val="006D261E"/>
    <w:rsid w:val="006E07FD"/>
    <w:rsid w:val="006E3473"/>
    <w:rsid w:val="00702559"/>
    <w:rsid w:val="00706F74"/>
    <w:rsid w:val="00715888"/>
    <w:rsid w:val="00716E71"/>
    <w:rsid w:val="00733C42"/>
    <w:rsid w:val="0074699B"/>
    <w:rsid w:val="007611C1"/>
    <w:rsid w:val="00770239"/>
    <w:rsid w:val="00771A80"/>
    <w:rsid w:val="00776338"/>
    <w:rsid w:val="00784112"/>
    <w:rsid w:val="00786789"/>
    <w:rsid w:val="007A17B8"/>
    <w:rsid w:val="007A289D"/>
    <w:rsid w:val="007A3144"/>
    <w:rsid w:val="007A5C80"/>
    <w:rsid w:val="007A6C42"/>
    <w:rsid w:val="007A7F7E"/>
    <w:rsid w:val="007B01E4"/>
    <w:rsid w:val="007B1BB2"/>
    <w:rsid w:val="007B3A33"/>
    <w:rsid w:val="007B40DC"/>
    <w:rsid w:val="007B67FC"/>
    <w:rsid w:val="007B6FE6"/>
    <w:rsid w:val="007C25FE"/>
    <w:rsid w:val="007C31F0"/>
    <w:rsid w:val="007C335A"/>
    <w:rsid w:val="007D0274"/>
    <w:rsid w:val="007D25FB"/>
    <w:rsid w:val="007D28B8"/>
    <w:rsid w:val="007D5956"/>
    <w:rsid w:val="007E0C55"/>
    <w:rsid w:val="007E4EBC"/>
    <w:rsid w:val="007F3261"/>
    <w:rsid w:val="007F58F4"/>
    <w:rsid w:val="007F7FAC"/>
    <w:rsid w:val="008012A2"/>
    <w:rsid w:val="00801676"/>
    <w:rsid w:val="00810BD8"/>
    <w:rsid w:val="00812389"/>
    <w:rsid w:val="00815CCE"/>
    <w:rsid w:val="008204EB"/>
    <w:rsid w:val="00821088"/>
    <w:rsid w:val="00834B6D"/>
    <w:rsid w:val="00837726"/>
    <w:rsid w:val="00840490"/>
    <w:rsid w:val="008404BE"/>
    <w:rsid w:val="008500F6"/>
    <w:rsid w:val="00852FF2"/>
    <w:rsid w:val="0086119A"/>
    <w:rsid w:val="00864206"/>
    <w:rsid w:val="008645CA"/>
    <w:rsid w:val="00865924"/>
    <w:rsid w:val="00867657"/>
    <w:rsid w:val="0087203D"/>
    <w:rsid w:val="00875206"/>
    <w:rsid w:val="00876329"/>
    <w:rsid w:val="0087689F"/>
    <w:rsid w:val="008830CE"/>
    <w:rsid w:val="00887CD7"/>
    <w:rsid w:val="008905D5"/>
    <w:rsid w:val="00890686"/>
    <w:rsid w:val="0089338D"/>
    <w:rsid w:val="00893520"/>
    <w:rsid w:val="0089426D"/>
    <w:rsid w:val="008A1CD0"/>
    <w:rsid w:val="008A340C"/>
    <w:rsid w:val="008A545A"/>
    <w:rsid w:val="008A6565"/>
    <w:rsid w:val="008B18E2"/>
    <w:rsid w:val="008B2749"/>
    <w:rsid w:val="008B4FBA"/>
    <w:rsid w:val="008B5EAB"/>
    <w:rsid w:val="008C4C70"/>
    <w:rsid w:val="008D1328"/>
    <w:rsid w:val="008E2235"/>
    <w:rsid w:val="008E3205"/>
    <w:rsid w:val="008E5158"/>
    <w:rsid w:val="008F7486"/>
    <w:rsid w:val="00907933"/>
    <w:rsid w:val="00917C14"/>
    <w:rsid w:val="009217F2"/>
    <w:rsid w:val="00923A87"/>
    <w:rsid w:val="00930CD4"/>
    <w:rsid w:val="009312BA"/>
    <w:rsid w:val="00933C37"/>
    <w:rsid w:val="00944A04"/>
    <w:rsid w:val="0094566A"/>
    <w:rsid w:val="00947FA4"/>
    <w:rsid w:val="0095563A"/>
    <w:rsid w:val="009623AD"/>
    <w:rsid w:val="00962BF8"/>
    <w:rsid w:val="00966490"/>
    <w:rsid w:val="00975A6C"/>
    <w:rsid w:val="00990221"/>
    <w:rsid w:val="0099473C"/>
    <w:rsid w:val="00994A39"/>
    <w:rsid w:val="00994ECE"/>
    <w:rsid w:val="00997C45"/>
    <w:rsid w:val="00997ED8"/>
    <w:rsid w:val="009A0405"/>
    <w:rsid w:val="009A0BFE"/>
    <w:rsid w:val="009B109C"/>
    <w:rsid w:val="009B73EE"/>
    <w:rsid w:val="009C22EF"/>
    <w:rsid w:val="009C3FA4"/>
    <w:rsid w:val="009D105E"/>
    <w:rsid w:val="009E53E7"/>
    <w:rsid w:val="009E6A78"/>
    <w:rsid w:val="009E70DA"/>
    <w:rsid w:val="009F3662"/>
    <w:rsid w:val="009F5EF5"/>
    <w:rsid w:val="009F7EC2"/>
    <w:rsid w:val="00A06727"/>
    <w:rsid w:val="00A12D99"/>
    <w:rsid w:val="00A1326C"/>
    <w:rsid w:val="00A13F6C"/>
    <w:rsid w:val="00A17466"/>
    <w:rsid w:val="00A275A9"/>
    <w:rsid w:val="00A3186C"/>
    <w:rsid w:val="00A34B72"/>
    <w:rsid w:val="00A45B6F"/>
    <w:rsid w:val="00A465EC"/>
    <w:rsid w:val="00A47E2A"/>
    <w:rsid w:val="00A51555"/>
    <w:rsid w:val="00A54401"/>
    <w:rsid w:val="00A62A20"/>
    <w:rsid w:val="00A6498A"/>
    <w:rsid w:val="00A65D04"/>
    <w:rsid w:val="00A71A2C"/>
    <w:rsid w:val="00A721BC"/>
    <w:rsid w:val="00A7530D"/>
    <w:rsid w:val="00A76A26"/>
    <w:rsid w:val="00A87E01"/>
    <w:rsid w:val="00AA0DEB"/>
    <w:rsid w:val="00AA221B"/>
    <w:rsid w:val="00AA3C3B"/>
    <w:rsid w:val="00AA4AC9"/>
    <w:rsid w:val="00AA4E5B"/>
    <w:rsid w:val="00AB080A"/>
    <w:rsid w:val="00AB59B1"/>
    <w:rsid w:val="00AD4B7B"/>
    <w:rsid w:val="00AD5A97"/>
    <w:rsid w:val="00AE2D8C"/>
    <w:rsid w:val="00AE4B96"/>
    <w:rsid w:val="00AE6A04"/>
    <w:rsid w:val="00AF3133"/>
    <w:rsid w:val="00B04BC4"/>
    <w:rsid w:val="00B1118C"/>
    <w:rsid w:val="00B11E6E"/>
    <w:rsid w:val="00B140AA"/>
    <w:rsid w:val="00B16816"/>
    <w:rsid w:val="00B214F6"/>
    <w:rsid w:val="00B30B06"/>
    <w:rsid w:val="00B40161"/>
    <w:rsid w:val="00B461E9"/>
    <w:rsid w:val="00B51315"/>
    <w:rsid w:val="00B5499F"/>
    <w:rsid w:val="00B553D1"/>
    <w:rsid w:val="00B57ADB"/>
    <w:rsid w:val="00B776DC"/>
    <w:rsid w:val="00B80246"/>
    <w:rsid w:val="00B8501D"/>
    <w:rsid w:val="00B900BA"/>
    <w:rsid w:val="00B97F92"/>
    <w:rsid w:val="00BA4715"/>
    <w:rsid w:val="00BB17D0"/>
    <w:rsid w:val="00BC3E86"/>
    <w:rsid w:val="00BC4E7A"/>
    <w:rsid w:val="00BD21D8"/>
    <w:rsid w:val="00BD4D0B"/>
    <w:rsid w:val="00BE06BE"/>
    <w:rsid w:val="00BE2AF3"/>
    <w:rsid w:val="00BE7717"/>
    <w:rsid w:val="00BF0A55"/>
    <w:rsid w:val="00BF2BFC"/>
    <w:rsid w:val="00C06D87"/>
    <w:rsid w:val="00C1089A"/>
    <w:rsid w:val="00C13906"/>
    <w:rsid w:val="00C26532"/>
    <w:rsid w:val="00C33325"/>
    <w:rsid w:val="00C35BE2"/>
    <w:rsid w:val="00C40A43"/>
    <w:rsid w:val="00C424D4"/>
    <w:rsid w:val="00C45BC5"/>
    <w:rsid w:val="00C4637C"/>
    <w:rsid w:val="00C478E8"/>
    <w:rsid w:val="00C47A39"/>
    <w:rsid w:val="00C53AB1"/>
    <w:rsid w:val="00C53AFB"/>
    <w:rsid w:val="00C655EE"/>
    <w:rsid w:val="00C67B00"/>
    <w:rsid w:val="00C7575E"/>
    <w:rsid w:val="00C77D03"/>
    <w:rsid w:val="00C77DCA"/>
    <w:rsid w:val="00C93F05"/>
    <w:rsid w:val="00C94ED7"/>
    <w:rsid w:val="00C97D87"/>
    <w:rsid w:val="00CA7B49"/>
    <w:rsid w:val="00CB224D"/>
    <w:rsid w:val="00CB29C3"/>
    <w:rsid w:val="00CC0AD3"/>
    <w:rsid w:val="00CC2C31"/>
    <w:rsid w:val="00CD0945"/>
    <w:rsid w:val="00CD1174"/>
    <w:rsid w:val="00CD2293"/>
    <w:rsid w:val="00CD2462"/>
    <w:rsid w:val="00CD4E39"/>
    <w:rsid w:val="00CD55D0"/>
    <w:rsid w:val="00CD7E3D"/>
    <w:rsid w:val="00CE58E1"/>
    <w:rsid w:val="00CE5EBC"/>
    <w:rsid w:val="00CE617B"/>
    <w:rsid w:val="00CF2260"/>
    <w:rsid w:val="00CF2550"/>
    <w:rsid w:val="00D03287"/>
    <w:rsid w:val="00D047CD"/>
    <w:rsid w:val="00D05ED2"/>
    <w:rsid w:val="00D06340"/>
    <w:rsid w:val="00D078C5"/>
    <w:rsid w:val="00D12619"/>
    <w:rsid w:val="00D20895"/>
    <w:rsid w:val="00D227D2"/>
    <w:rsid w:val="00D25CFF"/>
    <w:rsid w:val="00D329BB"/>
    <w:rsid w:val="00D3637C"/>
    <w:rsid w:val="00D36A79"/>
    <w:rsid w:val="00D431E6"/>
    <w:rsid w:val="00D47D0B"/>
    <w:rsid w:val="00D52363"/>
    <w:rsid w:val="00D53953"/>
    <w:rsid w:val="00D54991"/>
    <w:rsid w:val="00D61AD0"/>
    <w:rsid w:val="00D63A04"/>
    <w:rsid w:val="00D63DA3"/>
    <w:rsid w:val="00D65105"/>
    <w:rsid w:val="00D7041E"/>
    <w:rsid w:val="00D754BA"/>
    <w:rsid w:val="00D844CD"/>
    <w:rsid w:val="00D93691"/>
    <w:rsid w:val="00D9608F"/>
    <w:rsid w:val="00DA2853"/>
    <w:rsid w:val="00DA2E32"/>
    <w:rsid w:val="00DB2407"/>
    <w:rsid w:val="00DB6FA6"/>
    <w:rsid w:val="00DB724B"/>
    <w:rsid w:val="00DC68E7"/>
    <w:rsid w:val="00DC75EE"/>
    <w:rsid w:val="00DD1D27"/>
    <w:rsid w:val="00DD36E0"/>
    <w:rsid w:val="00DD5787"/>
    <w:rsid w:val="00DD6340"/>
    <w:rsid w:val="00DE0967"/>
    <w:rsid w:val="00DE4690"/>
    <w:rsid w:val="00DE4E2E"/>
    <w:rsid w:val="00DF6F8B"/>
    <w:rsid w:val="00DF7158"/>
    <w:rsid w:val="00E0557F"/>
    <w:rsid w:val="00E1243F"/>
    <w:rsid w:val="00E14093"/>
    <w:rsid w:val="00E176B8"/>
    <w:rsid w:val="00E23E65"/>
    <w:rsid w:val="00E24A07"/>
    <w:rsid w:val="00E25706"/>
    <w:rsid w:val="00E30934"/>
    <w:rsid w:val="00E32C8E"/>
    <w:rsid w:val="00E343F3"/>
    <w:rsid w:val="00E46B82"/>
    <w:rsid w:val="00E47E4B"/>
    <w:rsid w:val="00E51DD1"/>
    <w:rsid w:val="00E54014"/>
    <w:rsid w:val="00E61B8E"/>
    <w:rsid w:val="00E64CDD"/>
    <w:rsid w:val="00E65C90"/>
    <w:rsid w:val="00E71903"/>
    <w:rsid w:val="00E74E1F"/>
    <w:rsid w:val="00E83CB7"/>
    <w:rsid w:val="00E9189D"/>
    <w:rsid w:val="00E95BA1"/>
    <w:rsid w:val="00E95DDB"/>
    <w:rsid w:val="00E9696C"/>
    <w:rsid w:val="00EA6719"/>
    <w:rsid w:val="00EB1027"/>
    <w:rsid w:val="00EB57D0"/>
    <w:rsid w:val="00EB7158"/>
    <w:rsid w:val="00EB7DD6"/>
    <w:rsid w:val="00EC42CE"/>
    <w:rsid w:val="00EC470D"/>
    <w:rsid w:val="00EC5C8B"/>
    <w:rsid w:val="00ED13F5"/>
    <w:rsid w:val="00ED3871"/>
    <w:rsid w:val="00ED5DA3"/>
    <w:rsid w:val="00EF265F"/>
    <w:rsid w:val="00F011A2"/>
    <w:rsid w:val="00F107E3"/>
    <w:rsid w:val="00F10E4E"/>
    <w:rsid w:val="00F31C81"/>
    <w:rsid w:val="00F35FDE"/>
    <w:rsid w:val="00F411E6"/>
    <w:rsid w:val="00F428D1"/>
    <w:rsid w:val="00F469D3"/>
    <w:rsid w:val="00F62BF3"/>
    <w:rsid w:val="00F638C8"/>
    <w:rsid w:val="00F65A78"/>
    <w:rsid w:val="00F66E2B"/>
    <w:rsid w:val="00F716D0"/>
    <w:rsid w:val="00F721CC"/>
    <w:rsid w:val="00F77E6C"/>
    <w:rsid w:val="00F81766"/>
    <w:rsid w:val="00F8426C"/>
    <w:rsid w:val="00F855BC"/>
    <w:rsid w:val="00F8639A"/>
    <w:rsid w:val="00F94558"/>
    <w:rsid w:val="00F974F4"/>
    <w:rsid w:val="00FA0F35"/>
    <w:rsid w:val="00FB0C54"/>
    <w:rsid w:val="00FC1E0B"/>
    <w:rsid w:val="00FC7075"/>
    <w:rsid w:val="00FD3DBA"/>
    <w:rsid w:val="00FD6D1B"/>
    <w:rsid w:val="00FD7178"/>
    <w:rsid w:val="00FE6ABD"/>
    <w:rsid w:val="00FF1570"/>
    <w:rsid w:val="00FF17B2"/>
    <w:rsid w:val="00FF46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B252E5"/>
  <w15:docId w15:val="{CB49CA0D-07E9-46EF-91B3-DC89C9706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uiPriority="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lsdException w:name="List Continue 5" w:semiHidden="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iPriority="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66440E"/>
    <w:pPr>
      <w:spacing w:after="120" w:line="240" w:lineRule="atLeast"/>
    </w:pPr>
    <w:rPr>
      <w:rFonts w:asciiTheme="minorHAnsi" w:hAnsiTheme="minorHAnsi" w:cs="Arial"/>
      <w:sz w:val="18"/>
    </w:rPr>
  </w:style>
  <w:style w:type="paragraph" w:styleId="Heading1">
    <w:name w:val="heading 1"/>
    <w:basedOn w:val="Normal"/>
    <w:next w:val="BodyText"/>
    <w:link w:val="Heading1Char"/>
    <w:qFormat/>
    <w:rsid w:val="00BF2BFC"/>
    <w:pPr>
      <w:keepNext/>
      <w:spacing w:before="240" w:line="400" w:lineRule="exact"/>
      <w:outlineLvl w:val="0"/>
    </w:pPr>
    <w:rPr>
      <w:rFonts w:asciiTheme="majorHAnsi" w:hAnsiTheme="majorHAnsi" w:cstheme="majorHAnsi"/>
      <w:bCs/>
      <w:color w:val="4F2D7F" w:themeColor="accent1"/>
      <w:kern w:val="32"/>
      <w:sz w:val="36"/>
      <w:szCs w:val="28"/>
      <w:lang w:val="en-GB"/>
    </w:rPr>
  </w:style>
  <w:style w:type="paragraph" w:styleId="Heading2">
    <w:name w:val="heading 2"/>
    <w:basedOn w:val="Heading1"/>
    <w:next w:val="BodyText"/>
    <w:link w:val="Heading2Char"/>
    <w:qFormat/>
    <w:rsid w:val="005216D3"/>
    <w:pPr>
      <w:spacing w:line="320" w:lineRule="exact"/>
      <w:outlineLvl w:val="1"/>
    </w:pPr>
    <w:rPr>
      <w:bCs w:val="0"/>
      <w:sz w:val="26"/>
      <w:szCs w:val="19"/>
    </w:rPr>
  </w:style>
  <w:style w:type="paragraph" w:styleId="Heading3">
    <w:name w:val="heading 3"/>
    <w:basedOn w:val="Heading2"/>
    <w:next w:val="BodyText"/>
    <w:qFormat/>
    <w:rsid w:val="005216D3"/>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BF2BFC"/>
    <w:pPr>
      <w:outlineLvl w:val="3"/>
    </w:pPr>
    <w:rPr>
      <w:b w:val="0"/>
      <w:bCs w:val="0"/>
    </w:rPr>
  </w:style>
  <w:style w:type="paragraph" w:styleId="Heading5">
    <w:name w:val="heading 5"/>
    <w:basedOn w:val="Normal"/>
    <w:next w:val="Normal"/>
    <w:semiHidden/>
    <w:qFormat/>
    <w:rsid w:val="00BF2BFC"/>
    <w:pPr>
      <w:numPr>
        <w:ilvl w:val="4"/>
        <w:numId w:val="4"/>
      </w:numPr>
      <w:spacing w:before="240"/>
      <w:outlineLvl w:val="4"/>
    </w:pPr>
    <w:rPr>
      <w:b/>
      <w:bCs/>
      <w:i/>
      <w:iCs/>
      <w:sz w:val="24"/>
      <w:szCs w:val="26"/>
      <w:lang w:val="en-GB"/>
    </w:rPr>
  </w:style>
  <w:style w:type="paragraph" w:styleId="Heading6">
    <w:name w:val="heading 6"/>
    <w:basedOn w:val="Normal"/>
    <w:next w:val="Normal"/>
    <w:semiHidden/>
    <w:qFormat/>
    <w:rsid w:val="00BF2BFC"/>
    <w:pPr>
      <w:numPr>
        <w:ilvl w:val="5"/>
        <w:numId w:val="4"/>
      </w:numPr>
      <w:spacing w:before="240" w:after="60"/>
      <w:outlineLvl w:val="5"/>
    </w:pPr>
    <w:rPr>
      <w:rFonts w:ascii="Times New Roman" w:hAnsi="Times New Roman" w:cs="Times New Roman"/>
      <w:b/>
      <w:bCs/>
      <w:szCs w:val="22"/>
      <w:lang w:val="en-GB"/>
    </w:rPr>
  </w:style>
  <w:style w:type="paragraph" w:styleId="Heading7">
    <w:name w:val="heading 7"/>
    <w:basedOn w:val="Normal"/>
    <w:next w:val="Normal"/>
    <w:semiHidden/>
    <w:qFormat/>
    <w:rsid w:val="00BF2BFC"/>
    <w:pPr>
      <w:numPr>
        <w:ilvl w:val="6"/>
        <w:numId w:val="4"/>
      </w:numPr>
      <w:spacing w:before="240" w:after="60"/>
      <w:outlineLvl w:val="6"/>
    </w:pPr>
    <w:rPr>
      <w:rFonts w:ascii="Times New Roman" w:hAnsi="Times New Roman" w:cs="Times New Roman"/>
      <w:sz w:val="24"/>
      <w:szCs w:val="24"/>
      <w:lang w:val="en-GB"/>
    </w:rPr>
  </w:style>
  <w:style w:type="paragraph" w:styleId="Heading8">
    <w:name w:val="heading 8"/>
    <w:basedOn w:val="Normal"/>
    <w:next w:val="Normal"/>
    <w:semiHidden/>
    <w:qFormat/>
    <w:rsid w:val="00BF2BFC"/>
    <w:pPr>
      <w:numPr>
        <w:ilvl w:val="7"/>
        <w:numId w:val="4"/>
      </w:numPr>
      <w:spacing w:before="240" w:after="60"/>
      <w:outlineLvl w:val="7"/>
    </w:pPr>
    <w:rPr>
      <w:rFonts w:ascii="Times New Roman" w:hAnsi="Times New Roman" w:cs="Times New Roman"/>
      <w:i/>
      <w:iCs/>
      <w:sz w:val="24"/>
      <w:szCs w:val="24"/>
      <w:lang w:val="en-GB"/>
    </w:rPr>
  </w:style>
  <w:style w:type="paragraph" w:styleId="Heading9">
    <w:name w:val="heading 9"/>
    <w:basedOn w:val="Normal"/>
    <w:next w:val="Normal"/>
    <w:semiHidden/>
    <w:qFormat/>
    <w:rsid w:val="00BF2BFC"/>
    <w:pPr>
      <w:numPr>
        <w:ilvl w:val="8"/>
        <w:numId w:val="4"/>
      </w:numPr>
      <w:spacing w:before="240" w:after="60"/>
      <w:outlineLvl w:val="8"/>
    </w:pPr>
    <w:rPr>
      <w:rFonts w:ascii="Arial" w:hAnsi="Arial"/>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F2BFC"/>
    <w:rPr>
      <w:lang w:val="en-GB"/>
    </w:rPr>
  </w:style>
  <w:style w:type="paragraph" w:styleId="ListBullet">
    <w:name w:val="List Bullet"/>
    <w:basedOn w:val="Normal"/>
    <w:link w:val="ListBulletChar"/>
    <w:uiPriority w:val="1"/>
    <w:qFormat/>
    <w:rsid w:val="00F31C81"/>
    <w:pPr>
      <w:numPr>
        <w:numId w:val="12"/>
      </w:numPr>
    </w:pPr>
    <w:rPr>
      <w:lang w:val="en-GB"/>
    </w:rPr>
  </w:style>
  <w:style w:type="paragraph" w:styleId="ListNumber">
    <w:name w:val="List Number"/>
    <w:basedOn w:val="Normal"/>
    <w:uiPriority w:val="1"/>
    <w:qFormat/>
    <w:rsid w:val="00F31C81"/>
    <w:pPr>
      <w:numPr>
        <w:numId w:val="13"/>
      </w:numPr>
    </w:pPr>
    <w:rPr>
      <w:lang w:val="en-GB"/>
    </w:rPr>
  </w:style>
  <w:style w:type="paragraph" w:styleId="Header">
    <w:name w:val="header"/>
    <w:link w:val="HeaderChar"/>
    <w:uiPriority w:val="99"/>
    <w:rsid w:val="00B04BC4"/>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DE4690"/>
    <w:pPr>
      <w:tabs>
        <w:tab w:val="right" w:pos="8222"/>
      </w:tabs>
      <w:jc w:val="right"/>
    </w:pPr>
    <w:rPr>
      <w:rFonts w:asciiTheme="minorHAnsi" w:hAnsiTheme="minorHAnsi" w:cstheme="minorHAnsi"/>
      <w:color w:val="747678" w:themeColor="background2"/>
      <w:sz w:val="12"/>
      <w:szCs w:val="16"/>
      <w:lang w:val="en-GB"/>
    </w:rPr>
  </w:style>
  <w:style w:type="character" w:customStyle="1" w:styleId="ReportColour">
    <w:name w:val="Report Colour"/>
    <w:basedOn w:val="DefaultParagraphFont"/>
    <w:rsid w:val="005A066F"/>
    <w:rPr>
      <w:color w:val="4F2D7F" w:themeColor="accent1"/>
      <w:lang w:val="en-GB"/>
    </w:rPr>
  </w:style>
  <w:style w:type="paragraph" w:customStyle="1" w:styleId="AppendixTitle">
    <w:name w:val="Appendix Title"/>
    <w:basedOn w:val="Normal"/>
    <w:next w:val="BodyText"/>
    <w:qFormat/>
    <w:rsid w:val="00702559"/>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lang w:val="en-GB"/>
    </w:rPr>
  </w:style>
  <w:style w:type="paragraph" w:styleId="Title">
    <w:name w:val="Title"/>
    <w:basedOn w:val="Normal"/>
    <w:next w:val="BodyText"/>
    <w:uiPriority w:val="1"/>
    <w:qFormat/>
    <w:rsid w:val="00BF2BFC"/>
    <w:pPr>
      <w:spacing w:after="360" w:line="800" w:lineRule="exact"/>
      <w:outlineLvl w:val="0"/>
    </w:pPr>
    <w:rPr>
      <w:rFonts w:asciiTheme="majorHAnsi" w:hAnsiTheme="majorHAnsi"/>
      <w:b/>
      <w:bCs/>
      <w:color w:val="4F2D7F" w:themeColor="accent1"/>
      <w:kern w:val="28"/>
      <w:sz w:val="72"/>
      <w:szCs w:val="32"/>
      <w:lang w:val="en-GB"/>
    </w:rPr>
  </w:style>
  <w:style w:type="paragraph" w:styleId="Subtitle">
    <w:name w:val="Subtitle"/>
    <w:uiPriority w:val="9"/>
    <w:rsid w:val="007C335A"/>
    <w:pPr>
      <w:spacing w:after="840" w:line="280" w:lineRule="atLeast"/>
      <w:outlineLvl w:val="1"/>
    </w:pPr>
    <w:rPr>
      <w:rFonts w:asciiTheme="majorHAnsi" w:hAnsiTheme="majorHAnsi" w:cs="Arial"/>
      <w:bCs/>
      <w:color w:val="000000" w:themeColor="text1"/>
      <w:kern w:val="28"/>
      <w:sz w:val="36"/>
      <w:szCs w:val="24"/>
      <w:lang w:val="en-GB"/>
    </w:rPr>
  </w:style>
  <w:style w:type="paragraph" w:styleId="ListBullet2">
    <w:name w:val="List Bullet 2"/>
    <w:basedOn w:val="Normal"/>
    <w:uiPriority w:val="1"/>
    <w:qFormat/>
    <w:rsid w:val="00F31C81"/>
    <w:pPr>
      <w:numPr>
        <w:ilvl w:val="1"/>
        <w:numId w:val="12"/>
      </w:numPr>
    </w:pPr>
    <w:rPr>
      <w:lang w:val="en-GB"/>
    </w:rPr>
  </w:style>
  <w:style w:type="paragraph" w:styleId="ListNumber2">
    <w:name w:val="List Number 2"/>
    <w:basedOn w:val="Normal"/>
    <w:uiPriority w:val="1"/>
    <w:qFormat/>
    <w:rsid w:val="00F31C81"/>
    <w:pPr>
      <w:numPr>
        <w:ilvl w:val="1"/>
        <w:numId w:val="13"/>
      </w:numPr>
    </w:pPr>
    <w:rPr>
      <w:lang w:val="en-GB"/>
    </w:rPr>
  </w:style>
  <w:style w:type="paragraph" w:styleId="ListNumber3">
    <w:name w:val="List Number 3"/>
    <w:basedOn w:val="Normal"/>
    <w:uiPriority w:val="1"/>
    <w:qFormat/>
    <w:rsid w:val="00F31C81"/>
    <w:pPr>
      <w:numPr>
        <w:ilvl w:val="2"/>
        <w:numId w:val="13"/>
      </w:numPr>
    </w:pPr>
    <w:rPr>
      <w:lang w:val="en-GB"/>
    </w:rPr>
  </w:style>
  <w:style w:type="paragraph" w:customStyle="1" w:styleId="MarginNotes">
    <w:name w:val="Margin Notes"/>
    <w:semiHidden/>
    <w:rsid w:val="00B04BC4"/>
    <w:rPr>
      <w:rFonts w:asciiTheme="minorHAnsi" w:hAnsiTheme="minorHAnsi" w:cs="Arial"/>
      <w:sz w:val="16"/>
      <w:lang w:val="en-GB"/>
    </w:rPr>
  </w:style>
  <w:style w:type="paragraph" w:customStyle="1" w:styleId="SectionTitle">
    <w:name w:val="Section Title"/>
    <w:next w:val="BodyText"/>
    <w:qFormat/>
    <w:rsid w:val="00702559"/>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4D18B1"/>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4D18B1"/>
    <w:pPr>
      <w:spacing w:before="60" w:after="60"/>
    </w:pPr>
    <w:rPr>
      <w:rFonts w:asciiTheme="minorHAnsi" w:hAnsiTheme="minorHAnsi" w:cs="Arial"/>
      <w:sz w:val="18"/>
      <w:lang w:val="en-GB"/>
    </w:rPr>
  </w:style>
  <w:style w:type="paragraph" w:customStyle="1" w:styleId="TintBoxTextBlack">
    <w:name w:val="Tint Box Text Black"/>
    <w:semiHidden/>
    <w:rsid w:val="00B04BC4"/>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B04BC4"/>
    <w:rPr>
      <w:color w:val="FFFFFF"/>
    </w:rPr>
  </w:style>
  <w:style w:type="paragraph" w:styleId="TOC1">
    <w:name w:val="toc 1"/>
    <w:next w:val="Normal"/>
    <w:uiPriority w:val="39"/>
    <w:rsid w:val="00AE6A04"/>
    <w:pPr>
      <w:tabs>
        <w:tab w:val="right" w:pos="8222"/>
      </w:tabs>
      <w:spacing w:before="120" w:after="120" w:line="240" w:lineRule="atLeast"/>
    </w:pPr>
    <w:rPr>
      <w:rFonts w:asciiTheme="minorHAnsi" w:hAnsiTheme="minorHAnsi" w:cs="Arial"/>
      <w:sz w:val="18"/>
      <w:lang w:val="en-GB"/>
    </w:rPr>
  </w:style>
  <w:style w:type="paragraph" w:styleId="TOC2">
    <w:name w:val="toc 2"/>
    <w:next w:val="Normal"/>
    <w:semiHidden/>
    <w:rsid w:val="00AE6A04"/>
    <w:pPr>
      <w:tabs>
        <w:tab w:val="right" w:pos="8222"/>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B04BC4"/>
    <w:pPr>
      <w:ind w:left="403"/>
    </w:pPr>
  </w:style>
  <w:style w:type="paragraph" w:customStyle="1" w:styleId="Contents">
    <w:name w:val="Contents"/>
    <w:next w:val="Normal"/>
    <w:uiPriority w:val="9"/>
    <w:unhideWhenUsed/>
    <w:rsid w:val="00BF2BFC"/>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character" w:styleId="PageNumber">
    <w:name w:val="page number"/>
    <w:basedOn w:val="DefaultParagraphFont"/>
    <w:semiHidden/>
    <w:rsid w:val="00B04BC4"/>
    <w:rPr>
      <w:rFonts w:asciiTheme="minorHAnsi" w:hAnsiTheme="minorHAnsi"/>
      <w:lang w:val="en-GB"/>
    </w:rPr>
  </w:style>
  <w:style w:type="paragraph" w:customStyle="1" w:styleId="ChapterTitle">
    <w:name w:val="Chapter Title"/>
    <w:basedOn w:val="Subtitle"/>
    <w:uiPriority w:val="9"/>
    <w:semiHidden/>
    <w:rsid w:val="00B04BC4"/>
    <w:pPr>
      <w:pBdr>
        <w:bottom w:val="single" w:sz="4" w:space="5" w:color="auto"/>
      </w:pBdr>
      <w:spacing w:after="720" w:line="240" w:lineRule="atLeast"/>
    </w:pPr>
    <w:rPr>
      <w:sz w:val="18"/>
    </w:rPr>
  </w:style>
  <w:style w:type="paragraph" w:customStyle="1" w:styleId="AppendicesTitle">
    <w:name w:val="Appendices Title"/>
    <w:basedOn w:val="Heading2"/>
    <w:next w:val="Normal"/>
    <w:uiPriority w:val="9"/>
    <w:semiHidden/>
    <w:rsid w:val="00BF2BFC"/>
    <w:rPr>
      <w:color w:val="auto"/>
    </w:rPr>
  </w:style>
  <w:style w:type="character" w:styleId="Hyperlink">
    <w:name w:val="Hyperlink"/>
    <w:basedOn w:val="DefaultParagraphFont"/>
    <w:uiPriority w:val="99"/>
    <w:rsid w:val="00B04BC4"/>
    <w:rPr>
      <w:color w:val="0000FF"/>
      <w:u w:val="single"/>
      <w:lang w:val="en-GB"/>
    </w:rPr>
  </w:style>
  <w:style w:type="paragraph" w:customStyle="1" w:styleId="ReferenceTitle">
    <w:name w:val="Reference Title"/>
    <w:next w:val="ReferenceText"/>
    <w:uiPriority w:val="9"/>
    <w:unhideWhenUsed/>
    <w:rsid w:val="00B04BC4"/>
    <w:pPr>
      <w:spacing w:after="120" w:line="240" w:lineRule="atLeast"/>
    </w:pPr>
    <w:rPr>
      <w:rFonts w:asciiTheme="minorHAnsi" w:hAnsiTheme="minorHAnsi" w:cs="Arial"/>
      <w:b/>
      <w:kern w:val="32"/>
      <w:sz w:val="18"/>
      <w:szCs w:val="24"/>
      <w:lang w:val="en-GB"/>
    </w:rPr>
  </w:style>
  <w:style w:type="paragraph" w:customStyle="1" w:styleId="ReferenceText">
    <w:name w:val="Reference Text"/>
    <w:uiPriority w:val="9"/>
    <w:unhideWhenUsed/>
    <w:rsid w:val="00B04BC4"/>
    <w:pPr>
      <w:spacing w:after="120" w:line="240" w:lineRule="atLeast"/>
    </w:pPr>
    <w:rPr>
      <w:rFonts w:asciiTheme="minorHAnsi" w:hAnsiTheme="minorHAnsi" w:cs="Arial"/>
      <w:kern w:val="32"/>
      <w:sz w:val="18"/>
      <w:szCs w:val="24"/>
      <w:lang w:val="en-GB"/>
    </w:rPr>
  </w:style>
  <w:style w:type="paragraph" w:customStyle="1" w:styleId="Backpage">
    <w:name w:val="Back page"/>
    <w:uiPriority w:val="9"/>
    <w:semiHidden/>
    <w:rsid w:val="00BF2BFC"/>
    <w:rPr>
      <w:rFonts w:asciiTheme="majorHAnsi" w:hAnsiTheme="majorHAnsi" w:cs="Arial"/>
      <w:b/>
      <w:sz w:val="18"/>
      <w:lang w:val="en-GB"/>
    </w:rPr>
  </w:style>
  <w:style w:type="paragraph" w:customStyle="1" w:styleId="Copyright">
    <w:name w:val="Copyright"/>
    <w:rsid w:val="00BF2BFC"/>
    <w:pPr>
      <w:framePr w:hSpace="181" w:wrap="around" w:hAnchor="margin" w:yAlign="bottom"/>
      <w:spacing w:after="80"/>
    </w:pPr>
    <w:rPr>
      <w:rFonts w:ascii="Arial Narrow" w:hAnsi="Arial Narrow" w:cs="Arial"/>
      <w:color w:val="747678" w:themeColor="background2"/>
      <w:sz w:val="12"/>
      <w:lang w:val="en-GB"/>
    </w:rPr>
  </w:style>
  <w:style w:type="paragraph" w:customStyle="1" w:styleId="TradingName">
    <w:name w:val="Trading Name"/>
    <w:semiHidden/>
    <w:rsid w:val="00B04BC4"/>
    <w:pPr>
      <w:spacing w:line="180" w:lineRule="atLeast"/>
    </w:pPr>
    <w:rPr>
      <w:rFonts w:asciiTheme="minorHAnsi" w:eastAsia="SimHei" w:hAnsiTheme="minorHAnsi" w:cs="Arial"/>
      <w:b/>
      <w:sz w:val="14"/>
      <w:lang w:val="en-GB"/>
    </w:rPr>
  </w:style>
  <w:style w:type="paragraph" w:customStyle="1" w:styleId="PartnerAddress">
    <w:name w:val="Partner Address"/>
    <w:semiHidden/>
    <w:rsid w:val="00B04BC4"/>
    <w:rPr>
      <w:rFonts w:asciiTheme="minorHAnsi" w:eastAsia="SimHei" w:hAnsiTheme="minorHAnsi" w:cs="Arial"/>
      <w:sz w:val="14"/>
      <w:lang w:val="en-GB"/>
    </w:rPr>
  </w:style>
  <w:style w:type="paragraph" w:customStyle="1" w:styleId="HalfLineBreak">
    <w:name w:val="Half Line Break"/>
    <w:semiHidden/>
    <w:rsid w:val="00B04BC4"/>
    <w:pPr>
      <w:framePr w:wrap="around" w:vAnchor="page" w:hAnchor="page" w:x="9016" w:y="3970"/>
      <w:suppressOverlap/>
    </w:pPr>
    <w:rPr>
      <w:rFonts w:asciiTheme="minorHAnsi" w:eastAsia="SimHei" w:hAnsiTheme="minorHAnsi" w:cs="Arial"/>
      <w:b/>
      <w:sz w:val="7"/>
      <w:lang w:val="en-GB"/>
    </w:rPr>
  </w:style>
  <w:style w:type="paragraph" w:customStyle="1" w:styleId="LetterFooter">
    <w:name w:val="Letter Footer"/>
    <w:uiPriority w:val="9"/>
    <w:semiHidden/>
    <w:rsid w:val="00203B9A"/>
    <w:pPr>
      <w:spacing w:line="140" w:lineRule="atLeast"/>
    </w:pPr>
    <w:rPr>
      <w:rFonts w:ascii="Arial Narrow" w:hAnsi="Arial Narrow" w:cs="Arial"/>
      <w:sz w:val="12"/>
      <w:lang w:val="en-GB"/>
    </w:rPr>
  </w:style>
  <w:style w:type="paragraph" w:customStyle="1" w:styleId="LetterFooterTitle">
    <w:name w:val="Letter Footer Title"/>
    <w:next w:val="LetterFooter"/>
    <w:uiPriority w:val="9"/>
    <w:semiHidden/>
    <w:rsid w:val="00203B9A"/>
    <w:pPr>
      <w:spacing w:line="140" w:lineRule="atLeast"/>
    </w:pPr>
    <w:rPr>
      <w:rFonts w:ascii="Arial Narrow" w:hAnsi="Arial Narrow" w:cs="Arial"/>
      <w:b/>
      <w:sz w:val="12"/>
      <w:lang w:val="en-GB"/>
    </w:rPr>
  </w:style>
  <w:style w:type="paragraph" w:customStyle="1" w:styleId="LandscapeHeader">
    <w:name w:val="Landscape Header"/>
    <w:basedOn w:val="Header"/>
    <w:semiHidden/>
    <w:rsid w:val="00BF2BFC"/>
    <w:pPr>
      <w:tabs>
        <w:tab w:val="clear" w:pos="8562"/>
        <w:tab w:val="right" w:pos="13438"/>
      </w:tabs>
    </w:pPr>
  </w:style>
  <w:style w:type="paragraph" w:customStyle="1" w:styleId="NumberedHeading1">
    <w:name w:val="Numbered Heading 1"/>
    <w:next w:val="BodyText"/>
    <w:uiPriority w:val="3"/>
    <w:qFormat/>
    <w:rsid w:val="00BF2BFC"/>
    <w:pPr>
      <w:numPr>
        <w:numId w:val="5"/>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D63A04"/>
    <w:pPr>
      <w:numPr>
        <w:ilvl w:val="1"/>
        <w:numId w:val="5"/>
      </w:numPr>
      <w:spacing w:before="240" w:after="120" w:line="320" w:lineRule="exact"/>
    </w:pPr>
    <w:rPr>
      <w:rFonts w:asciiTheme="majorHAnsi" w:hAnsiTheme="majorHAnsi" w:cstheme="majorHAnsi"/>
      <w:color w:val="4F2D7F" w:themeColor="accent1"/>
      <w:sz w:val="26"/>
      <w:szCs w:val="28"/>
      <w:lang w:val="en-GB"/>
    </w:rPr>
  </w:style>
  <w:style w:type="table" w:styleId="TableGrid">
    <w:name w:val="Table Grid"/>
    <w:basedOn w:val="TableNormal"/>
    <w:rsid w:val="00B04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B04BC4"/>
    <w:pPr>
      <w:numPr>
        <w:numId w:val="3"/>
      </w:numPr>
    </w:pPr>
  </w:style>
  <w:style w:type="paragraph" w:customStyle="1" w:styleId="ParagraphBullet2">
    <w:name w:val="Paragraph Bullet 2"/>
    <w:basedOn w:val="Normal"/>
    <w:uiPriority w:val="1"/>
    <w:rsid w:val="00B04BC4"/>
    <w:pPr>
      <w:numPr>
        <w:ilvl w:val="1"/>
        <w:numId w:val="3"/>
      </w:numPr>
    </w:pPr>
  </w:style>
  <w:style w:type="paragraph" w:customStyle="1" w:styleId="MarginNotesHeading">
    <w:name w:val="Margin Notes Heading"/>
    <w:basedOn w:val="MarginNotes"/>
    <w:semiHidden/>
    <w:rsid w:val="00B04BC4"/>
    <w:rPr>
      <w:b/>
    </w:rPr>
  </w:style>
  <w:style w:type="paragraph" w:styleId="Quote">
    <w:name w:val="Quote"/>
    <w:basedOn w:val="BodyText"/>
    <w:uiPriority w:val="9"/>
    <w:unhideWhenUsed/>
    <w:rsid w:val="00B04BC4"/>
    <w:rPr>
      <w:sz w:val="28"/>
    </w:rPr>
  </w:style>
  <w:style w:type="paragraph" w:customStyle="1" w:styleId="ContactDetails">
    <w:name w:val="Contact Details"/>
    <w:uiPriority w:val="9"/>
    <w:unhideWhenUsed/>
    <w:rsid w:val="00B04BC4"/>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B04BC4"/>
    <w:rPr>
      <w:b/>
    </w:rPr>
  </w:style>
  <w:style w:type="paragraph" w:styleId="MacroText">
    <w:name w:val="macro"/>
    <w:semiHidden/>
    <w:rsid w:val="00B04BC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styleId="BalloonText">
    <w:name w:val="Balloon Text"/>
    <w:basedOn w:val="Normal"/>
    <w:link w:val="BalloonTextChar"/>
    <w:uiPriority w:val="9"/>
    <w:semiHidden/>
    <w:rsid w:val="00B04BC4"/>
    <w:rPr>
      <w:rFonts w:cs="Tahoma"/>
      <w:sz w:val="16"/>
      <w:szCs w:val="16"/>
    </w:rPr>
  </w:style>
  <w:style w:type="character" w:customStyle="1" w:styleId="BalloonTextChar">
    <w:name w:val="Balloon Text Char"/>
    <w:basedOn w:val="DefaultParagraphFont"/>
    <w:link w:val="BalloonText"/>
    <w:uiPriority w:val="9"/>
    <w:semiHidden/>
    <w:rsid w:val="00B04BC4"/>
    <w:rPr>
      <w:rFonts w:asciiTheme="minorHAnsi" w:hAnsiTheme="minorHAnsi" w:cs="Tahoma"/>
      <w:sz w:val="16"/>
      <w:szCs w:val="16"/>
    </w:rPr>
  </w:style>
  <w:style w:type="table" w:customStyle="1" w:styleId="GTITableStyle1">
    <w:name w:val="GTI Table Style 1"/>
    <w:basedOn w:val="TableNormal"/>
    <w:uiPriority w:val="99"/>
    <w:rsid w:val="004D18B1"/>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BF2BFC"/>
    <w:rPr>
      <w:rFonts w:asciiTheme="minorHAnsi" w:hAnsiTheme="minorHAnsi" w:cs="Arial"/>
      <w:sz w:val="18"/>
      <w:lang w:val="en-GB"/>
    </w:rPr>
  </w:style>
  <w:style w:type="numbering" w:customStyle="1" w:styleId="GTListBullet">
    <w:name w:val="GT List Bullet"/>
    <w:uiPriority w:val="99"/>
    <w:rsid w:val="00F31C81"/>
    <w:pPr>
      <w:numPr>
        <w:numId w:val="6"/>
      </w:numPr>
    </w:pPr>
  </w:style>
  <w:style w:type="numbering" w:customStyle="1" w:styleId="GTListNumber">
    <w:name w:val="GT List Number"/>
    <w:uiPriority w:val="99"/>
    <w:rsid w:val="00F31C81"/>
    <w:pPr>
      <w:numPr>
        <w:numId w:val="7"/>
      </w:numPr>
    </w:pPr>
  </w:style>
  <w:style w:type="numbering" w:customStyle="1" w:styleId="GTNumberedHeadings">
    <w:name w:val="GT Numbered Headings"/>
    <w:uiPriority w:val="99"/>
    <w:rsid w:val="00B04BC4"/>
    <w:pPr>
      <w:numPr>
        <w:numId w:val="1"/>
      </w:numPr>
    </w:pPr>
  </w:style>
  <w:style w:type="numbering" w:customStyle="1" w:styleId="GTParagraphBullet">
    <w:name w:val="GT Paragraph Bullet"/>
    <w:uiPriority w:val="99"/>
    <w:rsid w:val="00B04BC4"/>
    <w:pPr>
      <w:numPr>
        <w:numId w:val="2"/>
      </w:numPr>
    </w:pPr>
  </w:style>
  <w:style w:type="paragraph" w:styleId="NoSpacing">
    <w:name w:val="No Spacing"/>
    <w:uiPriority w:val="1"/>
    <w:semiHidden/>
    <w:rsid w:val="00B04BC4"/>
    <w:rPr>
      <w:rFonts w:asciiTheme="minorHAnsi" w:hAnsiTheme="minorHAnsi" w:cs="Arial"/>
      <w:sz w:val="18"/>
      <w:lang w:val="en-GB"/>
    </w:rPr>
  </w:style>
  <w:style w:type="paragraph" w:styleId="PlainText">
    <w:name w:val="Plain Text"/>
    <w:basedOn w:val="Normal"/>
    <w:link w:val="PlainTextChar"/>
    <w:semiHidden/>
    <w:unhideWhenUsed/>
    <w:rsid w:val="00B04BC4"/>
    <w:pPr>
      <w:spacing w:after="0" w:line="240" w:lineRule="auto"/>
    </w:pPr>
    <w:rPr>
      <w:szCs w:val="21"/>
    </w:rPr>
  </w:style>
  <w:style w:type="character" w:customStyle="1" w:styleId="PlainTextChar">
    <w:name w:val="Plain Text Char"/>
    <w:basedOn w:val="DefaultParagraphFont"/>
    <w:link w:val="PlainText"/>
    <w:semiHidden/>
    <w:rsid w:val="00B04BC4"/>
    <w:rPr>
      <w:rFonts w:asciiTheme="minorHAnsi" w:hAnsiTheme="minorHAnsi" w:cs="Arial"/>
      <w:sz w:val="18"/>
      <w:szCs w:val="21"/>
    </w:rPr>
  </w:style>
  <w:style w:type="paragraph" w:styleId="TOC4">
    <w:name w:val="toc 4"/>
    <w:basedOn w:val="Normal"/>
    <w:next w:val="Normal"/>
    <w:autoRedefine/>
    <w:semiHidden/>
    <w:rsid w:val="00AE6A04"/>
    <w:pPr>
      <w:tabs>
        <w:tab w:val="right" w:pos="8222"/>
      </w:tabs>
      <w:ind w:left="539"/>
    </w:pPr>
  </w:style>
  <w:style w:type="paragraph" w:styleId="TOC5">
    <w:name w:val="toc 5"/>
    <w:basedOn w:val="Normal"/>
    <w:next w:val="Normal"/>
    <w:autoRedefine/>
    <w:semiHidden/>
    <w:rsid w:val="00AE6A04"/>
    <w:pPr>
      <w:tabs>
        <w:tab w:val="right" w:pos="8222"/>
      </w:tabs>
      <w:ind w:left="720"/>
    </w:pPr>
  </w:style>
  <w:style w:type="paragraph" w:styleId="TOC6">
    <w:name w:val="toc 6"/>
    <w:basedOn w:val="Normal"/>
    <w:next w:val="Normal"/>
    <w:autoRedefine/>
    <w:semiHidden/>
    <w:rsid w:val="00B04BC4"/>
    <w:pPr>
      <w:ind w:left="902"/>
    </w:pPr>
  </w:style>
  <w:style w:type="paragraph" w:styleId="TOC7">
    <w:name w:val="toc 7"/>
    <w:basedOn w:val="Normal"/>
    <w:next w:val="Normal"/>
    <w:autoRedefine/>
    <w:semiHidden/>
    <w:rsid w:val="00B04BC4"/>
    <w:pPr>
      <w:ind w:left="1077"/>
    </w:pPr>
  </w:style>
  <w:style w:type="paragraph" w:styleId="TOC8">
    <w:name w:val="toc 8"/>
    <w:basedOn w:val="Normal"/>
    <w:next w:val="Normal"/>
    <w:autoRedefine/>
    <w:semiHidden/>
    <w:rsid w:val="00B04BC4"/>
    <w:pPr>
      <w:ind w:left="1259"/>
    </w:pPr>
  </w:style>
  <w:style w:type="paragraph" w:styleId="TOC9">
    <w:name w:val="toc 9"/>
    <w:basedOn w:val="Normal"/>
    <w:next w:val="Normal"/>
    <w:autoRedefine/>
    <w:semiHidden/>
    <w:rsid w:val="00B04BC4"/>
    <w:pPr>
      <w:ind w:left="1440"/>
    </w:pPr>
  </w:style>
  <w:style w:type="paragraph" w:customStyle="1" w:styleId="Address1">
    <w:name w:val="Address1"/>
    <w:basedOn w:val="PartnerAddress"/>
    <w:rsid w:val="00CA7B49"/>
    <w:pPr>
      <w:spacing w:after="120"/>
    </w:pPr>
    <w:rPr>
      <w:color w:val="4F2D7F" w:themeColor="accent1"/>
      <w:szCs w:val="16"/>
    </w:rPr>
  </w:style>
  <w:style w:type="paragraph" w:customStyle="1" w:styleId="WebAddress">
    <w:name w:val="WebAddress"/>
    <w:basedOn w:val="Address1"/>
    <w:semiHidden/>
    <w:qFormat/>
    <w:rsid w:val="00CA7B49"/>
    <w:rPr>
      <w:b/>
      <w:sz w:val="12"/>
    </w:rPr>
  </w:style>
  <w:style w:type="paragraph" w:customStyle="1" w:styleId="ClientAddress">
    <w:name w:val="Client Address"/>
    <w:basedOn w:val="BodyText"/>
    <w:rsid w:val="00462B97"/>
    <w:pPr>
      <w:framePr w:hSpace="180" w:wrap="around" w:vAnchor="text" w:hAnchor="text" w:y="1"/>
      <w:spacing w:after="0" w:line="240" w:lineRule="auto"/>
      <w:suppressOverlap/>
    </w:pPr>
  </w:style>
  <w:style w:type="paragraph" w:customStyle="1" w:styleId="Smlspace">
    <w:name w:val="Sml space"/>
    <w:basedOn w:val="Copyright"/>
    <w:semiHidden/>
    <w:qFormat/>
    <w:rsid w:val="00CA7B49"/>
    <w:pPr>
      <w:framePr w:hSpace="180" w:wrap="around" w:vAnchor="text" w:hAnchor="text" w:y="10232"/>
    </w:pPr>
    <w:rPr>
      <w:color w:val="4F2D7F" w:themeColor="accent1"/>
      <w:sz w:val="2"/>
      <w:szCs w:val="2"/>
    </w:rPr>
  </w:style>
  <w:style w:type="character" w:customStyle="1" w:styleId="Heading1Char">
    <w:name w:val="Heading 1 Char"/>
    <w:basedOn w:val="DefaultParagraphFont"/>
    <w:link w:val="Heading1"/>
    <w:rsid w:val="00BF2BFC"/>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5216D3"/>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BF2BFC"/>
    <w:rPr>
      <w:rFonts w:asciiTheme="minorHAnsi" w:hAnsiTheme="minorHAnsi" w:cstheme="minorHAnsi"/>
      <w:color w:val="4F2D7F" w:themeColor="accent1"/>
      <w:kern w:val="32"/>
      <w:sz w:val="18"/>
      <w:szCs w:val="18"/>
      <w:lang w:val="en-GB"/>
    </w:rPr>
  </w:style>
  <w:style w:type="paragraph" w:customStyle="1" w:styleId="LandscapeFooter">
    <w:name w:val="Landscape Footer"/>
    <w:basedOn w:val="Footer"/>
    <w:uiPriority w:val="9"/>
    <w:semiHidden/>
    <w:rsid w:val="00BF2BFC"/>
    <w:pPr>
      <w:tabs>
        <w:tab w:val="clear" w:pos="8222"/>
        <w:tab w:val="right" w:pos="13461"/>
      </w:tabs>
      <w:ind w:right="-63"/>
    </w:pPr>
  </w:style>
  <w:style w:type="paragraph" w:customStyle="1" w:styleId="SectionTitleLandscape">
    <w:name w:val="Section Title Landscape"/>
    <w:basedOn w:val="Normal"/>
    <w:next w:val="BodyText"/>
    <w:uiPriority w:val="3"/>
    <w:qFormat/>
    <w:rsid w:val="00BF2BFC"/>
    <w:pPr>
      <w:pageBreakBefore/>
      <w:framePr w:w="13478" w:wrap="around" w:vAnchor="page" w:hAnchor="margin" w:y="2099" w:anchorLock="1"/>
      <w:spacing w:line="800" w:lineRule="exact"/>
    </w:pPr>
    <w:rPr>
      <w:rFonts w:asciiTheme="majorHAnsi" w:hAnsiTheme="majorHAnsi" w:cstheme="majorHAnsi"/>
      <w:color w:val="4F2D7F" w:themeColor="accent1"/>
      <w:sz w:val="72"/>
      <w:lang w:val="en-GB"/>
    </w:rPr>
  </w:style>
  <w:style w:type="paragraph" w:customStyle="1" w:styleId="AppendixTitleLandscape">
    <w:name w:val="Appendix Title Landscape"/>
    <w:basedOn w:val="Normal"/>
    <w:next w:val="BodyText"/>
    <w:uiPriority w:val="4"/>
    <w:qFormat/>
    <w:rsid w:val="00BF2BFC"/>
    <w:pPr>
      <w:pageBreakBefore/>
      <w:framePr w:w="13478" w:wrap="around" w:vAnchor="page" w:hAnchor="margin" w:y="2099" w:anchorLock="1"/>
      <w:spacing w:line="800" w:lineRule="exact"/>
    </w:pPr>
    <w:rPr>
      <w:rFonts w:asciiTheme="majorHAnsi" w:hAnsiTheme="majorHAnsi" w:cstheme="majorHAnsi"/>
      <w:color w:val="4F2D7F" w:themeColor="accent1"/>
      <w:sz w:val="72"/>
      <w:lang w:val="en-GB"/>
    </w:rPr>
  </w:style>
  <w:style w:type="character" w:customStyle="1" w:styleId="FooterChar">
    <w:name w:val="Footer Char"/>
    <w:basedOn w:val="DefaultParagraphFont"/>
    <w:link w:val="Footer"/>
    <w:uiPriority w:val="99"/>
    <w:rsid w:val="00DE4690"/>
    <w:rPr>
      <w:rFonts w:asciiTheme="minorHAnsi" w:hAnsiTheme="minorHAnsi" w:cstheme="minorHAnsi"/>
      <w:color w:val="747678" w:themeColor="background2"/>
      <w:sz w:val="12"/>
      <w:szCs w:val="16"/>
      <w:lang w:val="en-GB"/>
    </w:rPr>
  </w:style>
  <w:style w:type="paragraph" w:customStyle="1" w:styleId="ReportFooterURL">
    <w:name w:val="Report Footer URL"/>
    <w:basedOn w:val="Normal"/>
    <w:uiPriority w:val="9"/>
    <w:semiHidden/>
    <w:rsid w:val="00DC68E7"/>
    <w:rPr>
      <w:b/>
      <w:sz w:val="16"/>
      <w:szCs w:val="16"/>
      <w:lang w:val="en-GB"/>
    </w:rPr>
  </w:style>
  <w:style w:type="paragraph" w:customStyle="1" w:styleId="LetterFooterURL">
    <w:name w:val="Letter Footer URL"/>
    <w:basedOn w:val="LetterFooter"/>
    <w:uiPriority w:val="9"/>
    <w:semiHidden/>
    <w:rsid w:val="00203B9A"/>
    <w:pPr>
      <w:jc w:val="right"/>
    </w:pPr>
    <w:rPr>
      <w:rFonts w:asciiTheme="minorHAnsi" w:hAnsiTheme="minorHAnsi"/>
      <w:b/>
      <w:sz w:val="14"/>
    </w:rPr>
  </w:style>
  <w:style w:type="character" w:customStyle="1" w:styleId="PageNumber0">
    <w:name w:val="PageNumber"/>
    <w:basedOn w:val="PageNumber"/>
    <w:uiPriority w:val="1"/>
    <w:rsid w:val="00DE4690"/>
    <w:rPr>
      <w:rFonts w:asciiTheme="minorHAnsi" w:hAnsiTheme="minorHAnsi"/>
      <w:b/>
      <w:color w:val="000000" w:themeColor="text1"/>
      <w:sz w:val="12"/>
      <w:lang w:val="en-GB"/>
    </w:rPr>
  </w:style>
  <w:style w:type="paragraph" w:customStyle="1" w:styleId="LicenceNumber">
    <w:name w:val="Licence Number"/>
    <w:basedOn w:val="LetterFooter"/>
    <w:uiPriority w:val="9"/>
    <w:rsid w:val="00203B9A"/>
    <w:rPr>
      <w:b/>
      <w:sz w:val="14"/>
    </w:rPr>
  </w:style>
  <w:style w:type="table" w:customStyle="1" w:styleId="GTITableStyle2">
    <w:name w:val="GTI Table Style 2"/>
    <w:basedOn w:val="GTITableStyle1"/>
    <w:uiPriority w:val="99"/>
    <w:rsid w:val="004D18B1"/>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F31C81"/>
    <w:pPr>
      <w:numPr>
        <w:numId w:val="8"/>
      </w:numPr>
    </w:pPr>
  </w:style>
  <w:style w:type="numbering" w:customStyle="1" w:styleId="GTTableNumbers">
    <w:name w:val="GT Table Numbers"/>
    <w:uiPriority w:val="99"/>
    <w:rsid w:val="00F31C81"/>
    <w:pPr>
      <w:numPr>
        <w:numId w:val="9"/>
      </w:numPr>
    </w:pPr>
  </w:style>
  <w:style w:type="paragraph" w:customStyle="1" w:styleId="TableBullet1">
    <w:name w:val="Table Bullet 1"/>
    <w:basedOn w:val="ListBullet"/>
    <w:uiPriority w:val="9"/>
    <w:qFormat/>
    <w:rsid w:val="00F31C81"/>
    <w:pPr>
      <w:numPr>
        <w:numId w:val="10"/>
      </w:numPr>
      <w:spacing w:before="60" w:after="60"/>
    </w:pPr>
  </w:style>
  <w:style w:type="paragraph" w:customStyle="1" w:styleId="TableBullet2">
    <w:name w:val="Table Bullet 2"/>
    <w:basedOn w:val="ListBullet2"/>
    <w:uiPriority w:val="9"/>
    <w:qFormat/>
    <w:rsid w:val="00F31C81"/>
    <w:pPr>
      <w:numPr>
        <w:numId w:val="10"/>
      </w:numPr>
      <w:spacing w:before="60" w:after="60"/>
    </w:pPr>
  </w:style>
  <w:style w:type="paragraph" w:customStyle="1" w:styleId="TableBullet3">
    <w:name w:val="Table Bullet 3"/>
    <w:basedOn w:val="ListBullet3"/>
    <w:uiPriority w:val="9"/>
    <w:qFormat/>
    <w:rsid w:val="00F31C81"/>
    <w:pPr>
      <w:numPr>
        <w:numId w:val="10"/>
      </w:numPr>
      <w:spacing w:before="60" w:after="60"/>
    </w:pPr>
  </w:style>
  <w:style w:type="paragraph" w:styleId="ListBullet3">
    <w:name w:val="List Bullet 3"/>
    <w:basedOn w:val="Normal"/>
    <w:uiPriority w:val="1"/>
    <w:qFormat/>
    <w:rsid w:val="00F31C81"/>
    <w:pPr>
      <w:numPr>
        <w:ilvl w:val="2"/>
        <w:numId w:val="12"/>
      </w:numPr>
      <w:contextualSpacing/>
    </w:pPr>
    <w:rPr>
      <w:lang w:val="en-GB"/>
    </w:rPr>
  </w:style>
  <w:style w:type="paragraph" w:customStyle="1" w:styleId="TableNumber">
    <w:name w:val="Table Number"/>
    <w:basedOn w:val="ListNumber"/>
    <w:uiPriority w:val="9"/>
    <w:qFormat/>
    <w:rsid w:val="00F31C81"/>
    <w:pPr>
      <w:numPr>
        <w:numId w:val="11"/>
      </w:numPr>
      <w:spacing w:before="60" w:after="60"/>
    </w:pPr>
  </w:style>
  <w:style w:type="paragraph" w:customStyle="1" w:styleId="TableNumber2">
    <w:name w:val="Table Number 2"/>
    <w:basedOn w:val="ListNumber2"/>
    <w:uiPriority w:val="9"/>
    <w:qFormat/>
    <w:rsid w:val="00F31C81"/>
    <w:pPr>
      <w:numPr>
        <w:numId w:val="11"/>
      </w:numPr>
      <w:spacing w:before="60" w:after="60"/>
    </w:pPr>
  </w:style>
  <w:style w:type="paragraph" w:customStyle="1" w:styleId="TableNumber3">
    <w:name w:val="Table Number 3"/>
    <w:basedOn w:val="ListNumber3"/>
    <w:uiPriority w:val="9"/>
    <w:qFormat/>
    <w:rsid w:val="00F31C81"/>
    <w:pPr>
      <w:numPr>
        <w:numId w:val="11"/>
      </w:numPr>
      <w:spacing w:before="60" w:after="60"/>
    </w:pPr>
  </w:style>
  <w:style w:type="character" w:customStyle="1" w:styleId="ListBulletChar">
    <w:name w:val="List Bullet Char"/>
    <w:basedOn w:val="DefaultParagraphFont"/>
    <w:link w:val="ListBullet"/>
    <w:uiPriority w:val="1"/>
    <w:rsid w:val="00F31C81"/>
    <w:rPr>
      <w:rFonts w:asciiTheme="minorHAnsi" w:hAnsiTheme="minorHAnsi" w:cs="Arial"/>
      <w:sz w:val="18"/>
      <w:lang w:val="en-GB"/>
    </w:rPr>
  </w:style>
  <w:style w:type="character" w:styleId="Strong">
    <w:name w:val="Strong"/>
    <w:basedOn w:val="DefaultParagraphFont"/>
    <w:rsid w:val="007E0C55"/>
    <w:rPr>
      <w:b/>
      <w:bCs/>
      <w:lang w:val="en-GB"/>
    </w:rPr>
  </w:style>
  <w:style w:type="paragraph" w:customStyle="1" w:styleId="Tabletextdecimal">
    <w:name w:val="Table text decimal"/>
    <w:basedOn w:val="TableText"/>
    <w:uiPriority w:val="9"/>
    <w:qFormat/>
    <w:rsid w:val="007E0C55"/>
    <w:pPr>
      <w:tabs>
        <w:tab w:val="decimal" w:pos="1304"/>
      </w:tabs>
    </w:pPr>
  </w:style>
  <w:style w:type="paragraph" w:customStyle="1" w:styleId="Notesandsources">
    <w:name w:val="Notes and sources"/>
    <w:basedOn w:val="BodyText"/>
    <w:rsid w:val="007E0C55"/>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qFormat/>
    <w:rsid w:val="007E0C55"/>
    <w:pPr>
      <w:jc w:val="right"/>
    </w:pPr>
  </w:style>
  <w:style w:type="paragraph" w:customStyle="1" w:styleId="TableTextRight">
    <w:name w:val="Table Text Right"/>
    <w:basedOn w:val="TableText"/>
    <w:uiPriority w:val="9"/>
    <w:qFormat/>
    <w:rsid w:val="007E0C55"/>
    <w:pPr>
      <w:jc w:val="right"/>
    </w:pPr>
  </w:style>
  <w:style w:type="paragraph" w:customStyle="1" w:styleId="CoverTitle">
    <w:name w:val="Cover Title"/>
    <w:rsid w:val="00194706"/>
    <w:pPr>
      <w:spacing w:before="400" w:after="400" w:line="580" w:lineRule="atLeast"/>
    </w:pPr>
    <w:rPr>
      <w:rFonts w:ascii="Garamond" w:hAnsi="Garamond" w:cs="Arial"/>
      <w:bCs/>
      <w:kern w:val="28"/>
      <w:sz w:val="40"/>
      <w:szCs w:val="32"/>
      <w:lang w:val="en-GB"/>
    </w:rPr>
  </w:style>
  <w:style w:type="paragraph" w:styleId="BodyTextIndent3">
    <w:name w:val="Body Text Indent 3"/>
    <w:basedOn w:val="Normal"/>
    <w:link w:val="BodyTextIndent3Char"/>
    <w:semiHidden/>
    <w:unhideWhenUsed/>
    <w:rsid w:val="00C97D87"/>
    <w:pPr>
      <w:ind w:left="283"/>
    </w:pPr>
    <w:rPr>
      <w:sz w:val="16"/>
      <w:szCs w:val="16"/>
      <w:lang w:val="en-GB"/>
    </w:rPr>
  </w:style>
  <w:style w:type="character" w:customStyle="1" w:styleId="BodyTextIndent3Char">
    <w:name w:val="Body Text Indent 3 Char"/>
    <w:basedOn w:val="DefaultParagraphFont"/>
    <w:link w:val="BodyTextIndent3"/>
    <w:semiHidden/>
    <w:rsid w:val="00C97D87"/>
    <w:rPr>
      <w:rFonts w:asciiTheme="minorHAnsi" w:hAnsiTheme="minorHAnsi" w:cs="Arial"/>
      <w:sz w:val="16"/>
      <w:szCs w:val="16"/>
      <w:lang w:val="en-GB"/>
    </w:rPr>
  </w:style>
  <w:style w:type="character" w:customStyle="1" w:styleId="HeaderChar">
    <w:name w:val="Header Char"/>
    <w:basedOn w:val="DefaultParagraphFont"/>
    <w:link w:val="Header"/>
    <w:uiPriority w:val="99"/>
    <w:rsid w:val="00C97D87"/>
    <w:rPr>
      <w:rFonts w:asciiTheme="minorHAnsi" w:hAnsiTheme="minorHAnsi" w:cs="Arial"/>
      <w:b/>
      <w:color w:val="747678" w:themeColor="background2"/>
      <w:sz w:val="16"/>
      <w:lang w:val="en-GB"/>
    </w:rPr>
  </w:style>
  <w:style w:type="paragraph" w:styleId="ListParagraph">
    <w:name w:val="List Paragraph"/>
    <w:basedOn w:val="Normal"/>
    <w:link w:val="ListParagraphChar"/>
    <w:uiPriority w:val="34"/>
    <w:unhideWhenUsed/>
    <w:qFormat/>
    <w:rsid w:val="00030AF1"/>
    <w:pPr>
      <w:ind w:left="720"/>
      <w:contextualSpacing/>
    </w:pPr>
    <w:rPr>
      <w:lang w:val="en-GB"/>
    </w:rPr>
  </w:style>
  <w:style w:type="character" w:customStyle="1" w:styleId="ListParagraphChar">
    <w:name w:val="List Paragraph Char"/>
    <w:link w:val="ListParagraph"/>
    <w:uiPriority w:val="34"/>
    <w:locked/>
    <w:rsid w:val="00030AF1"/>
    <w:rPr>
      <w:rFonts w:asciiTheme="minorHAnsi" w:hAnsiTheme="minorHAnsi" w:cs="Arial"/>
      <w:sz w:val="18"/>
      <w:lang w:val="en-GB"/>
    </w:rPr>
  </w:style>
  <w:style w:type="paragraph" w:customStyle="1" w:styleId="Default">
    <w:name w:val="Default"/>
    <w:rsid w:val="00C424D4"/>
    <w:pPr>
      <w:autoSpaceDE w:val="0"/>
      <w:autoSpaceDN w:val="0"/>
      <w:adjustRightInd w:val="0"/>
    </w:pPr>
    <w:rPr>
      <w:rFonts w:ascii="Arial" w:hAnsi="Arial" w:cs="Arial"/>
      <w:color w:val="000000"/>
      <w:sz w:val="24"/>
      <w:szCs w:val="24"/>
      <w:lang w:val="en-GB"/>
    </w:rPr>
  </w:style>
  <w:style w:type="paragraph" w:customStyle="1" w:styleId="RNormal">
    <w:name w:val="RNormal"/>
    <w:basedOn w:val="Normal"/>
    <w:rsid w:val="00C424D4"/>
    <w:pPr>
      <w:spacing w:after="0" w:line="240" w:lineRule="auto"/>
      <w:jc w:val="both"/>
    </w:pPr>
    <w:rPr>
      <w:rFonts w:ascii="Times New Roman" w:hAnsi="Times New Roman"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6085">
      <w:bodyDiv w:val="1"/>
      <w:marLeft w:val="0"/>
      <w:marRight w:val="0"/>
      <w:marTop w:val="0"/>
      <w:marBottom w:val="0"/>
      <w:divBdr>
        <w:top w:val="none" w:sz="0" w:space="0" w:color="auto"/>
        <w:left w:val="none" w:sz="0" w:space="0" w:color="auto"/>
        <w:bottom w:val="none" w:sz="0" w:space="0" w:color="auto"/>
        <w:right w:val="none" w:sz="0" w:space="0" w:color="auto"/>
      </w:divBdr>
    </w:div>
    <w:div w:id="401177892">
      <w:bodyDiv w:val="1"/>
      <w:marLeft w:val="0"/>
      <w:marRight w:val="0"/>
      <w:marTop w:val="0"/>
      <w:marBottom w:val="0"/>
      <w:divBdr>
        <w:top w:val="none" w:sz="0" w:space="0" w:color="auto"/>
        <w:left w:val="none" w:sz="0" w:space="0" w:color="auto"/>
        <w:bottom w:val="none" w:sz="0" w:space="0" w:color="auto"/>
        <w:right w:val="none" w:sz="0" w:space="0" w:color="auto"/>
      </w:divBdr>
    </w:div>
    <w:div w:id="455221863">
      <w:bodyDiv w:val="1"/>
      <w:marLeft w:val="0"/>
      <w:marRight w:val="0"/>
      <w:marTop w:val="0"/>
      <w:marBottom w:val="0"/>
      <w:divBdr>
        <w:top w:val="none" w:sz="0" w:space="0" w:color="auto"/>
        <w:left w:val="none" w:sz="0" w:space="0" w:color="auto"/>
        <w:bottom w:val="none" w:sz="0" w:space="0" w:color="auto"/>
        <w:right w:val="none" w:sz="0" w:space="0" w:color="auto"/>
      </w:divBdr>
    </w:div>
    <w:div w:id="455293536">
      <w:bodyDiv w:val="1"/>
      <w:marLeft w:val="0"/>
      <w:marRight w:val="0"/>
      <w:marTop w:val="0"/>
      <w:marBottom w:val="0"/>
      <w:divBdr>
        <w:top w:val="none" w:sz="0" w:space="0" w:color="auto"/>
        <w:left w:val="none" w:sz="0" w:space="0" w:color="auto"/>
        <w:bottom w:val="none" w:sz="0" w:space="0" w:color="auto"/>
        <w:right w:val="none" w:sz="0" w:space="0" w:color="auto"/>
      </w:divBdr>
    </w:div>
    <w:div w:id="472141983">
      <w:bodyDiv w:val="1"/>
      <w:marLeft w:val="0"/>
      <w:marRight w:val="0"/>
      <w:marTop w:val="0"/>
      <w:marBottom w:val="0"/>
      <w:divBdr>
        <w:top w:val="none" w:sz="0" w:space="0" w:color="auto"/>
        <w:left w:val="none" w:sz="0" w:space="0" w:color="auto"/>
        <w:bottom w:val="none" w:sz="0" w:space="0" w:color="auto"/>
        <w:right w:val="none" w:sz="0" w:space="0" w:color="auto"/>
      </w:divBdr>
    </w:div>
    <w:div w:id="503589086">
      <w:bodyDiv w:val="1"/>
      <w:marLeft w:val="0"/>
      <w:marRight w:val="0"/>
      <w:marTop w:val="0"/>
      <w:marBottom w:val="0"/>
      <w:divBdr>
        <w:top w:val="none" w:sz="0" w:space="0" w:color="auto"/>
        <w:left w:val="none" w:sz="0" w:space="0" w:color="auto"/>
        <w:bottom w:val="none" w:sz="0" w:space="0" w:color="auto"/>
        <w:right w:val="none" w:sz="0" w:space="0" w:color="auto"/>
      </w:divBdr>
    </w:div>
    <w:div w:id="667640026">
      <w:bodyDiv w:val="1"/>
      <w:marLeft w:val="0"/>
      <w:marRight w:val="0"/>
      <w:marTop w:val="0"/>
      <w:marBottom w:val="0"/>
      <w:divBdr>
        <w:top w:val="none" w:sz="0" w:space="0" w:color="auto"/>
        <w:left w:val="none" w:sz="0" w:space="0" w:color="auto"/>
        <w:bottom w:val="none" w:sz="0" w:space="0" w:color="auto"/>
        <w:right w:val="none" w:sz="0" w:space="0" w:color="auto"/>
      </w:divBdr>
    </w:div>
    <w:div w:id="1270547736">
      <w:bodyDiv w:val="1"/>
      <w:marLeft w:val="0"/>
      <w:marRight w:val="0"/>
      <w:marTop w:val="0"/>
      <w:marBottom w:val="0"/>
      <w:divBdr>
        <w:top w:val="none" w:sz="0" w:space="0" w:color="auto"/>
        <w:left w:val="none" w:sz="0" w:space="0" w:color="auto"/>
        <w:bottom w:val="none" w:sz="0" w:space="0" w:color="auto"/>
        <w:right w:val="none" w:sz="0" w:space="0" w:color="auto"/>
      </w:divBdr>
    </w:div>
    <w:div w:id="156625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Financial%20Statements%20Audit.dotm" TargetMode="External"/></Relationships>
</file>

<file path=word/theme/theme1.xml><?xml version="1.0" encoding="utf-8"?>
<a:theme xmlns:a="http://schemas.openxmlformats.org/drawingml/2006/main" name="Office Theme">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480667CAE3FFB4680A4786EAF832A12" ma:contentTypeVersion="16" ma:contentTypeDescription="สร้างเอกสารใหม่" ma:contentTypeScope="" ma:versionID="4092e2d1183725da50be548913996789">
  <xsd:schema xmlns:xsd="http://www.w3.org/2001/XMLSchema" xmlns:xs="http://www.w3.org/2001/XMLSchema" xmlns:p="http://schemas.microsoft.com/office/2006/metadata/properties" xmlns:ns2="58f92383-70ea-482b-9440-fce1dcbafb95" xmlns:ns3="b03813c3-0e8f-44af-a344-5068938af887" targetNamespace="http://schemas.microsoft.com/office/2006/metadata/properties" ma:root="true" ma:fieldsID="24adbfc7a3c7da25f186049ed10cf296" ns2:_="" ns3:_="">
    <xsd:import namespace="58f92383-70ea-482b-9440-fce1dcbafb95"/>
    <xsd:import namespace="b03813c3-0e8f-44af-a344-5068938af88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92383-70ea-482b-9440-fce1dcbafb95"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570ee694-cb59-4fd2-ba7b-3a4b85772cc8}" ma:internalName="TaxCatchAll" ma:showField="CatchAllData" ma:web="58f92383-70ea-482b-9440-fce1dcbafb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813c3-0e8f-44af-a344-5068938af88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0d48fa88-7bc3-49a1-8f27-2e9c909514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_Flow_SignoffStatus" ma:index="22" nillable="true" ma:displayName="สถานะการปิดงาน" ma:internalName="_x0024_Resources_x003a_core_x002c_Signoff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8f92383-70ea-482b-9440-fce1dcbafb95" xsi:nil="true"/>
    <lcf76f155ced4ddcb4097134ff3c332f xmlns="b03813c3-0e8f-44af-a344-5068938af887">
      <Terms xmlns="http://schemas.microsoft.com/office/infopath/2007/PartnerControls"/>
    </lcf76f155ced4ddcb4097134ff3c332f>
    <_Flow_SignoffStatus xmlns="b03813c3-0e8f-44af-a344-5068938af887" xsi:nil="true"/>
  </documentManagement>
</p:properties>
</file>

<file path=customXml/itemProps1.xml><?xml version="1.0" encoding="utf-8"?>
<ds:datastoreItem xmlns:ds="http://schemas.openxmlformats.org/officeDocument/2006/customXml" ds:itemID="{F070F048-568B-4472-8BF4-AFE859C8BB30}"/>
</file>

<file path=customXml/itemProps2.xml><?xml version="1.0" encoding="utf-8"?>
<ds:datastoreItem xmlns:ds="http://schemas.openxmlformats.org/officeDocument/2006/customXml" ds:itemID="{8D8F99FF-D406-498F-9139-2C1A08985BDF}">
  <ds:schemaRefs>
    <ds:schemaRef ds:uri="http://schemas.microsoft.com/sharepoint/v3/contenttype/forms"/>
  </ds:schemaRefs>
</ds:datastoreItem>
</file>

<file path=customXml/itemProps3.xml><?xml version="1.0" encoding="utf-8"?>
<ds:datastoreItem xmlns:ds="http://schemas.openxmlformats.org/officeDocument/2006/customXml" ds:itemID="{4C9B16DA-F57B-4D24-8D89-31D32EE42359}">
  <ds:schemaRefs>
    <ds:schemaRef ds:uri="http://schemas.openxmlformats.org/officeDocument/2006/bibliography"/>
  </ds:schemaRefs>
</ds:datastoreItem>
</file>

<file path=customXml/itemProps4.xml><?xml version="1.0" encoding="utf-8"?>
<ds:datastoreItem xmlns:ds="http://schemas.openxmlformats.org/officeDocument/2006/customXml" ds:itemID="{00474D27-8CA7-49C3-A62E-E200C7FF6812}">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docProps/app.xml><?xml version="1.0" encoding="utf-8"?>
<Properties xmlns="http://schemas.openxmlformats.org/officeDocument/2006/extended-properties" xmlns:vt="http://schemas.openxmlformats.org/officeDocument/2006/docPropsVTypes">
  <Template>Financial Statements Audit</Template>
  <TotalTime>1</TotalTime>
  <Pages>6</Pages>
  <Words>2185</Words>
  <Characters>12458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14614</CharactersWithSpaces>
  <SharedDoc>false</SharedDoc>
  <HLinks>
    <vt:vector size="12" baseType="variant">
      <vt:variant>
        <vt:i4>1507384</vt:i4>
      </vt:variant>
      <vt:variant>
        <vt:i4>17</vt:i4>
      </vt:variant>
      <vt:variant>
        <vt:i4>0</vt:i4>
      </vt:variant>
      <vt:variant>
        <vt:i4>5</vt:i4>
      </vt:variant>
      <vt:variant>
        <vt:lpwstr/>
      </vt:variant>
      <vt:variant>
        <vt:lpwstr>_Toc179887888</vt:lpwstr>
      </vt:variant>
      <vt:variant>
        <vt:i4>1507384</vt:i4>
      </vt:variant>
      <vt:variant>
        <vt:i4>11</vt:i4>
      </vt:variant>
      <vt:variant>
        <vt:i4>0</vt:i4>
      </vt:variant>
      <vt:variant>
        <vt:i4>5</vt:i4>
      </vt:variant>
      <vt:variant>
        <vt:lpwstr/>
      </vt:variant>
      <vt:variant>
        <vt:lpwstr>_Toc179887887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Office 05</cp:lastModifiedBy>
  <cp:revision>2</cp:revision>
  <cp:lastPrinted>2020-03-27T02:24:00Z</cp:lastPrinted>
  <dcterms:created xsi:type="dcterms:W3CDTF">2026-03-02T01:35:00Z</dcterms:created>
  <dcterms:modified xsi:type="dcterms:W3CDTF">2026-03-02T01:35:00Z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Company Name</vt:lpwstr>
  </property>
  <property fmtid="{D5CDD505-2E9C-101B-9397-08002B2CF9AE}" pid="3" name="CountryAdjective">
    <vt:lpwstr>Canadian</vt:lpwstr>
  </property>
  <property fmtid="{D5CDD505-2E9C-101B-9397-08002B2CF9AE}" pid="4" name="AccountsDate">
    <vt:lpwstr>Date of accounts</vt:lpwstr>
  </property>
  <property fmtid="{D5CDD505-2E9C-101B-9397-08002B2CF9AE}" pid="5" name="AccountsName">
    <vt:lpwstr>Name of Accounts</vt:lpwstr>
  </property>
  <property fmtid="{D5CDD505-2E9C-101B-9397-08002B2CF9AE}" pid="6" name="DocType">
    <vt:lpwstr>Financial Statements</vt:lpwstr>
  </property>
  <property fmtid="{D5CDD505-2E9C-101B-9397-08002B2CF9AE}" pid="7" name="ContentTypeId">
    <vt:lpwstr>0x0101007480667CAE3FFB4680A4786EAF832A12</vt:lpwstr>
  </property>
</Properties>
</file>