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98638" w14:textId="77777777" w:rsidR="00E12D47" w:rsidRDefault="00E12D47" w:rsidP="002903B7">
      <w:pPr>
        <w:spacing w:line="380" w:lineRule="exact"/>
        <w:rPr>
          <w:cs/>
        </w:rPr>
      </w:pPr>
    </w:p>
    <w:tbl>
      <w:tblPr>
        <w:tblW w:w="9588" w:type="dxa"/>
        <w:tblLook w:val="01E0" w:firstRow="1" w:lastRow="1" w:firstColumn="1" w:lastColumn="1" w:noHBand="0" w:noVBand="0"/>
      </w:tblPr>
      <w:tblGrid>
        <w:gridCol w:w="2628"/>
        <w:gridCol w:w="6960"/>
      </w:tblGrid>
      <w:tr w:rsidR="00150C99" w:rsidRPr="00F32AE9" w14:paraId="61C20CAF" w14:textId="77777777" w:rsidTr="00CE54A0">
        <w:trPr>
          <w:trHeight w:val="2865"/>
        </w:trPr>
        <w:tc>
          <w:tcPr>
            <w:tcW w:w="2628" w:type="dxa"/>
          </w:tcPr>
          <w:p w14:paraId="6D4CFC3B" w14:textId="77777777" w:rsidR="00647C8C" w:rsidRPr="000F5E4F" w:rsidRDefault="00647C8C" w:rsidP="002903B7">
            <w:pPr>
              <w:pStyle w:val="Heading7"/>
              <w:rPr>
                <w:rFonts w:eastAsia="Arial Unicode MS"/>
              </w:rPr>
            </w:pPr>
          </w:p>
        </w:tc>
        <w:tc>
          <w:tcPr>
            <w:tcW w:w="6960" w:type="dxa"/>
            <w:vAlign w:val="center"/>
          </w:tcPr>
          <w:p w14:paraId="3D7548F6" w14:textId="77777777" w:rsidR="006B2731" w:rsidRPr="0014731D" w:rsidRDefault="006B2731" w:rsidP="002903B7">
            <w:pPr>
              <w:spacing w:line="380" w:lineRule="exact"/>
              <w:ind w:left="14"/>
              <w:rPr>
                <w:rFonts w:eastAsia="Arial Unicode MS" w:hAnsi="Times New Roman" w:cs="Times New Roman"/>
                <w:color w:val="7E7F82"/>
                <w:sz w:val="28"/>
                <w:szCs w:val="28"/>
              </w:rPr>
            </w:pPr>
            <w:r w:rsidRPr="0014731D">
              <w:rPr>
                <w:rFonts w:eastAsia="Arial Unicode MS" w:hAnsi="Times New Roman" w:cs="Times New Roman"/>
                <w:color w:val="7E7F82"/>
                <w:sz w:val="28"/>
                <w:szCs w:val="28"/>
              </w:rPr>
              <w:t xml:space="preserve">BTS Group Holdings Public Company Limited </w:t>
            </w:r>
          </w:p>
          <w:p w14:paraId="577CE400" w14:textId="77777777" w:rsidR="006B2731" w:rsidRPr="0014731D" w:rsidRDefault="006B2731" w:rsidP="002903B7">
            <w:pPr>
              <w:spacing w:line="380" w:lineRule="exact"/>
              <w:ind w:left="14"/>
              <w:rPr>
                <w:rFonts w:eastAsia="Arial Unicode MS" w:hAnsi="Times New Roman" w:cs="Times New Roman"/>
                <w:color w:val="7E7F82"/>
                <w:sz w:val="28"/>
                <w:szCs w:val="28"/>
              </w:rPr>
            </w:pPr>
            <w:r w:rsidRPr="0014731D">
              <w:rPr>
                <w:rFonts w:eastAsia="Arial Unicode MS" w:hAnsi="Times New Roman" w:cs="Times New Roman"/>
                <w:color w:val="7E7F82"/>
                <w:sz w:val="28"/>
                <w:szCs w:val="28"/>
              </w:rPr>
              <w:t>and its subsidiaries</w:t>
            </w:r>
          </w:p>
          <w:p w14:paraId="6D43BDA5" w14:textId="41EE05A4" w:rsidR="006B2731" w:rsidRPr="0014731D" w:rsidRDefault="006B2731" w:rsidP="002903B7">
            <w:pPr>
              <w:spacing w:line="380" w:lineRule="exact"/>
              <w:ind w:left="14"/>
              <w:rPr>
                <w:rFonts w:eastAsia="Arial Unicode MS" w:hAnsi="Times New Roman" w:cs="Times New Roman"/>
                <w:color w:val="7E7F82"/>
                <w:sz w:val="28"/>
                <w:szCs w:val="28"/>
              </w:rPr>
            </w:pPr>
            <w:r w:rsidRPr="0014731D">
              <w:rPr>
                <w:rFonts w:eastAsia="Arial Unicode MS" w:hAnsi="Times New Roman" w:cs="Times New Roman"/>
                <w:color w:val="7E7F82"/>
                <w:sz w:val="28"/>
                <w:szCs w:val="28"/>
              </w:rPr>
              <w:t>Report and consolidated</w:t>
            </w:r>
            <w:r w:rsidR="00F764ED">
              <w:rPr>
                <w:rFonts w:eastAsia="Arial Unicode MS" w:hAnsi="Times New Roman" w:cs="Times New Roman"/>
                <w:color w:val="7E7F82"/>
                <w:sz w:val="28"/>
                <w:szCs w:val="28"/>
              </w:rPr>
              <w:t xml:space="preserve"> and separate</w:t>
            </w:r>
            <w:r w:rsidRPr="0014731D">
              <w:rPr>
                <w:rFonts w:eastAsia="Arial Unicode MS" w:hAnsi="Times New Roman" w:cs="Times New Roman"/>
                <w:color w:val="7E7F82"/>
                <w:sz w:val="28"/>
                <w:szCs w:val="28"/>
              </w:rPr>
              <w:t xml:space="preserve"> financial statements</w:t>
            </w:r>
          </w:p>
          <w:p w14:paraId="5ACF677D" w14:textId="0D694CA4" w:rsidR="00150C99" w:rsidRPr="00C65FAB" w:rsidRDefault="00EE1147" w:rsidP="002903B7">
            <w:pPr>
              <w:spacing w:line="380" w:lineRule="exact"/>
              <w:ind w:left="14"/>
              <w:rPr>
                <w:rFonts w:ascii="Arial" w:eastAsia="Arial Unicode MS" w:hAnsi="Arial"/>
                <w:b/>
                <w:bCs/>
                <w:color w:val="7E7F82"/>
                <w:sz w:val="22"/>
                <w:szCs w:val="35"/>
              </w:rPr>
            </w:pPr>
            <w:r w:rsidRPr="0014731D">
              <w:rPr>
                <w:rFonts w:eastAsia="Arial Unicode MS" w:hAnsi="Times New Roman" w:cs="Times New Roman"/>
                <w:color w:val="7E7F82"/>
                <w:sz w:val="28"/>
                <w:szCs w:val="28"/>
              </w:rPr>
              <w:t xml:space="preserve">31 March </w:t>
            </w:r>
            <w:r w:rsidR="00862AFD">
              <w:rPr>
                <w:rFonts w:eastAsia="Arial Unicode MS" w:hAnsi="Times New Roman" w:cs="Times New Roman"/>
                <w:color w:val="7E7F82"/>
                <w:sz w:val="28"/>
                <w:szCs w:val="28"/>
              </w:rPr>
              <w:t>202</w:t>
            </w:r>
            <w:r w:rsidR="00C65FAB">
              <w:rPr>
                <w:rFonts w:eastAsia="Arial Unicode MS" w:hAnsi="Times New Roman"/>
                <w:color w:val="7E7F82"/>
                <w:sz w:val="28"/>
                <w:szCs w:val="35"/>
              </w:rPr>
              <w:t>6</w:t>
            </w:r>
          </w:p>
        </w:tc>
      </w:tr>
    </w:tbl>
    <w:p w14:paraId="6C6D9374" w14:textId="77777777" w:rsidR="00150C99" w:rsidRPr="00F32AE9" w:rsidRDefault="00150C99" w:rsidP="002903B7">
      <w:pPr>
        <w:spacing w:line="380" w:lineRule="exact"/>
        <w:rPr>
          <w:rFonts w:ascii="Arial" w:eastAsia="Arial Unicode MS" w:hAnsi="Arial" w:cs="Arial"/>
          <w:sz w:val="22"/>
          <w:szCs w:val="22"/>
        </w:rPr>
        <w:sectPr w:rsidR="00150C99" w:rsidRPr="00F32AE9" w:rsidSect="002903B7">
          <w:footerReference w:type="default" r:id="rId8"/>
          <w:footerReference w:type="first" r:id="rId9"/>
          <w:pgSz w:w="11907" w:h="16840" w:code="9"/>
          <w:pgMar w:top="3312" w:right="1080" w:bottom="1080" w:left="360" w:header="720" w:footer="720" w:gutter="0"/>
          <w:cols w:space="720"/>
          <w:docGrid w:linePitch="360"/>
        </w:sectPr>
      </w:pPr>
    </w:p>
    <w:p w14:paraId="42BEA8F9" w14:textId="77777777" w:rsidR="00556767" w:rsidRPr="00F32AE9" w:rsidRDefault="00556767" w:rsidP="002903B7">
      <w:pPr>
        <w:overflowPunct/>
        <w:autoSpaceDE/>
        <w:autoSpaceDN/>
        <w:adjustRightInd/>
        <w:spacing w:line="380" w:lineRule="exact"/>
        <w:textAlignment w:val="auto"/>
        <w:rPr>
          <w:rFonts w:ascii="Arial" w:hAnsi="Arial" w:cs="Arial"/>
          <w:b/>
          <w:bCs/>
          <w:color w:val="000000"/>
          <w:sz w:val="22"/>
          <w:szCs w:val="22"/>
        </w:rPr>
      </w:pPr>
      <w:r w:rsidRPr="00F32AE9">
        <w:rPr>
          <w:rFonts w:ascii="Arial" w:hAnsi="Arial" w:cs="Arial"/>
          <w:b/>
          <w:bCs/>
          <w:color w:val="000000"/>
          <w:sz w:val="22"/>
          <w:szCs w:val="22"/>
        </w:rPr>
        <w:lastRenderedPageBreak/>
        <w:t>Independent Auditor's Report</w:t>
      </w:r>
    </w:p>
    <w:p w14:paraId="27653E96" w14:textId="1FD0AA4F" w:rsidR="00556767" w:rsidRPr="00D631EC" w:rsidRDefault="00556767" w:rsidP="002903B7">
      <w:pPr>
        <w:overflowPunct/>
        <w:autoSpaceDE/>
        <w:autoSpaceDN/>
        <w:adjustRightInd/>
        <w:spacing w:line="380" w:lineRule="exact"/>
        <w:textAlignment w:val="auto"/>
        <w:rPr>
          <w:rFonts w:ascii="Arial" w:hAnsi="Arial" w:cstheme="minorBidi"/>
          <w:color w:val="000000"/>
          <w:sz w:val="22"/>
          <w:szCs w:val="22"/>
        </w:rPr>
      </w:pPr>
      <w:r w:rsidRPr="00F32AE9">
        <w:rPr>
          <w:rFonts w:ascii="Arial" w:hAnsi="Arial" w:cs="Arial"/>
          <w:color w:val="000000"/>
          <w:sz w:val="22"/>
          <w:szCs w:val="22"/>
        </w:rPr>
        <w:t xml:space="preserve">To the Shareholders of </w:t>
      </w:r>
      <w:r w:rsidR="00174371" w:rsidRPr="00F32AE9">
        <w:rPr>
          <w:rFonts w:ascii="Arial" w:hAnsi="Arial" w:cs="Arial"/>
          <w:color w:val="000000"/>
          <w:sz w:val="22"/>
          <w:szCs w:val="22"/>
        </w:rPr>
        <w:t>BTS Group Holdings Public Company Limited</w:t>
      </w:r>
    </w:p>
    <w:p w14:paraId="721ECA12" w14:textId="77777777" w:rsidR="00556767" w:rsidRPr="00554395" w:rsidRDefault="00556767" w:rsidP="002903B7">
      <w:pPr>
        <w:overflowPunct/>
        <w:autoSpaceDE/>
        <w:autoSpaceDN/>
        <w:adjustRightInd/>
        <w:spacing w:before="360" w:after="120" w:line="380" w:lineRule="exact"/>
        <w:textAlignment w:val="auto"/>
        <w:rPr>
          <w:rFonts w:ascii="Arial" w:hAnsi="Arial" w:cstheme="minorBidi"/>
          <w:b/>
          <w:bCs/>
          <w:color w:val="000000"/>
          <w:sz w:val="22"/>
          <w:szCs w:val="22"/>
          <w:cs/>
        </w:rPr>
      </w:pPr>
      <w:r w:rsidRPr="00F32AE9">
        <w:rPr>
          <w:rFonts w:ascii="Arial" w:hAnsi="Arial" w:cs="Arial"/>
          <w:b/>
          <w:bCs/>
          <w:color w:val="000000"/>
          <w:sz w:val="22"/>
          <w:szCs w:val="22"/>
        </w:rPr>
        <w:t>Opinion</w:t>
      </w:r>
    </w:p>
    <w:p w14:paraId="223AFC9E" w14:textId="5146C3DD" w:rsidR="00556767" w:rsidRPr="00A63883" w:rsidRDefault="00556767" w:rsidP="002903B7">
      <w:pPr>
        <w:spacing w:before="120" w:after="120" w:line="380" w:lineRule="exact"/>
        <w:ind w:right="-43"/>
        <w:textAlignment w:val="auto"/>
        <w:rPr>
          <w:rFonts w:ascii="Arial" w:hAnsi="Arial" w:cs="Arial"/>
          <w:sz w:val="22"/>
          <w:szCs w:val="22"/>
        </w:rPr>
      </w:pPr>
      <w:r w:rsidRPr="00F32AE9">
        <w:rPr>
          <w:rFonts w:ascii="Arial" w:hAnsi="Arial" w:cs="Arial"/>
          <w:sz w:val="22"/>
          <w:szCs w:val="22"/>
        </w:rPr>
        <w:t xml:space="preserve">I have audited the accompanying consolidated financial statements of </w:t>
      </w:r>
      <w:r w:rsidR="00174371" w:rsidRPr="00F32AE9">
        <w:rPr>
          <w:rFonts w:ascii="Arial" w:hAnsi="Arial" w:cs="Arial"/>
          <w:sz w:val="22"/>
          <w:szCs w:val="22"/>
        </w:rPr>
        <w:t>BTS Group Holdings Public Company Limited</w:t>
      </w:r>
      <w:r w:rsidRPr="00F32AE9">
        <w:rPr>
          <w:rFonts w:ascii="Arial" w:hAnsi="Arial" w:cs="Arial"/>
          <w:sz w:val="22"/>
          <w:szCs w:val="22"/>
        </w:rPr>
        <w:t xml:space="preserve"> and its </w:t>
      </w:r>
      <w:r w:rsidR="00174371" w:rsidRPr="00F32AE9">
        <w:rPr>
          <w:rFonts w:ascii="Arial" w:hAnsi="Arial" w:cs="Arial"/>
          <w:sz w:val="22"/>
          <w:szCs w:val="22"/>
        </w:rPr>
        <w:t>subsidiaries</w:t>
      </w:r>
      <w:r w:rsidRPr="00F32AE9">
        <w:rPr>
          <w:rFonts w:ascii="Arial" w:hAnsi="Arial" w:cs="Arial"/>
          <w:sz w:val="22"/>
          <w:szCs w:val="22"/>
        </w:rPr>
        <w:t xml:space="preserve"> (the Group), which comprise the consolidated statement of financial position as at </w:t>
      </w:r>
      <w:r w:rsidR="00174371" w:rsidRPr="00F32AE9">
        <w:rPr>
          <w:rFonts w:ascii="Arial" w:hAnsi="Arial" w:cs="Arial"/>
          <w:sz w:val="22"/>
          <w:szCs w:val="22"/>
        </w:rPr>
        <w:t xml:space="preserve">31 March </w:t>
      </w:r>
      <w:r w:rsidR="00862AFD">
        <w:rPr>
          <w:rFonts w:ascii="Arial" w:hAnsi="Arial" w:cs="Arial"/>
          <w:sz w:val="22"/>
          <w:szCs w:val="22"/>
        </w:rPr>
        <w:t>202</w:t>
      </w:r>
      <w:r w:rsidR="00861FAA">
        <w:rPr>
          <w:rFonts w:ascii="Arial" w:hAnsi="Arial" w:cs="Arial"/>
          <w:sz w:val="22"/>
          <w:szCs w:val="22"/>
        </w:rPr>
        <w:t>6</w:t>
      </w:r>
      <w:r w:rsidRPr="00F32AE9">
        <w:rPr>
          <w:rFonts w:ascii="Arial" w:hAnsi="Arial" w:cs="Arial"/>
          <w:sz w:val="22"/>
          <w:szCs w:val="22"/>
        </w:rPr>
        <w:t>, and the related consolidated statements of comprehensive income, changes in shareholders’ equity and cash flows for the year then ended</w:t>
      </w:r>
      <w:r w:rsidR="00D62C99" w:rsidRPr="00DA4313">
        <w:rPr>
          <w:rFonts w:ascii="Arial" w:hAnsi="Arial" w:cs="Arial"/>
          <w:sz w:val="22"/>
          <w:szCs w:val="22"/>
        </w:rPr>
        <w:t xml:space="preserve">, and </w:t>
      </w:r>
      <w:r w:rsidR="00D62C99">
        <w:rPr>
          <w:rFonts w:ascii="Arial" w:hAnsi="Arial" w:cs="Arial"/>
          <w:sz w:val="22"/>
          <w:szCs w:val="22"/>
        </w:rPr>
        <w:t>notes to the consolidated financial statements, includin</w:t>
      </w:r>
      <w:r w:rsidR="00D62C99" w:rsidRPr="00D62C99">
        <w:rPr>
          <w:rFonts w:ascii="Arial" w:hAnsi="Arial" w:cs="Arial"/>
          <w:sz w:val="22"/>
          <w:szCs w:val="22"/>
        </w:rPr>
        <w:t>g material accounting policy information</w:t>
      </w:r>
      <w:r w:rsidRPr="00F32AE9">
        <w:rPr>
          <w:rFonts w:ascii="Arial" w:hAnsi="Arial" w:cs="Arial"/>
          <w:sz w:val="22"/>
          <w:szCs w:val="22"/>
        </w:rPr>
        <w:t xml:space="preserve">, and have also audited the separate financial statements of </w:t>
      </w:r>
      <w:r w:rsidR="00174371" w:rsidRPr="00F32AE9">
        <w:rPr>
          <w:rFonts w:ascii="Arial" w:hAnsi="Arial" w:cs="Arial"/>
          <w:sz w:val="22"/>
          <w:szCs w:val="22"/>
        </w:rPr>
        <w:t>BTS Group Holdings Public Company Limited</w:t>
      </w:r>
      <w:r w:rsidRPr="00F32AE9">
        <w:rPr>
          <w:rFonts w:ascii="Arial" w:hAnsi="Arial" w:cs="Arial"/>
          <w:sz w:val="22"/>
          <w:szCs w:val="22"/>
        </w:rPr>
        <w:t xml:space="preserve"> for the same </w:t>
      </w:r>
      <w:r w:rsidRPr="00A63883">
        <w:rPr>
          <w:rFonts w:ascii="Arial" w:hAnsi="Arial" w:cs="Arial"/>
          <w:sz w:val="22"/>
          <w:szCs w:val="22"/>
        </w:rPr>
        <w:t>period</w:t>
      </w:r>
      <w:r w:rsidR="00A63883" w:rsidRPr="00A63883">
        <w:rPr>
          <w:rFonts w:ascii="Arial" w:hAnsi="Arial" w:cs="Arial"/>
          <w:sz w:val="22"/>
          <w:szCs w:val="22"/>
        </w:rPr>
        <w:t xml:space="preserve"> (collectively “the financial statements”).</w:t>
      </w:r>
    </w:p>
    <w:p w14:paraId="4BF9F86A" w14:textId="5F3B023D" w:rsidR="00556767" w:rsidRPr="00F32AE9" w:rsidRDefault="00556767" w:rsidP="002903B7">
      <w:pPr>
        <w:spacing w:before="120" w:after="120" w:line="380" w:lineRule="exact"/>
        <w:ind w:right="-43"/>
        <w:textAlignment w:val="auto"/>
        <w:rPr>
          <w:rFonts w:ascii="Arial" w:hAnsi="Arial" w:cs="Arial"/>
          <w:sz w:val="22"/>
          <w:szCs w:val="22"/>
        </w:rPr>
      </w:pPr>
      <w:r w:rsidRPr="00A63883">
        <w:rPr>
          <w:rFonts w:ascii="Arial" w:hAnsi="Arial" w:cs="Arial"/>
          <w:sz w:val="22"/>
          <w:szCs w:val="22"/>
        </w:rPr>
        <w:t>In my opinion, the financial statements referred to above</w:t>
      </w:r>
      <w:r w:rsidRPr="00F32AE9">
        <w:rPr>
          <w:rFonts w:ascii="Arial" w:hAnsi="Arial" w:cs="Arial"/>
          <w:sz w:val="22"/>
          <w:szCs w:val="22"/>
        </w:rPr>
        <w:t xml:space="preserve"> present fairly, in all material respects, the financial position of </w:t>
      </w:r>
      <w:r w:rsidR="00174371" w:rsidRPr="00F32AE9">
        <w:rPr>
          <w:rFonts w:ascii="Arial" w:hAnsi="Arial" w:cs="Arial"/>
          <w:sz w:val="22"/>
          <w:szCs w:val="22"/>
        </w:rPr>
        <w:t>BTS Group Holdings Public Company Limited</w:t>
      </w:r>
      <w:r w:rsidRPr="00F32AE9">
        <w:rPr>
          <w:rFonts w:ascii="Arial" w:hAnsi="Arial" w:cs="Arial"/>
          <w:sz w:val="22"/>
          <w:szCs w:val="22"/>
        </w:rPr>
        <w:t xml:space="preserve"> and its </w:t>
      </w:r>
      <w:r w:rsidR="00174371" w:rsidRPr="00F32AE9">
        <w:rPr>
          <w:rFonts w:ascii="Arial" w:hAnsi="Arial" w:cs="Arial"/>
          <w:sz w:val="22"/>
          <w:szCs w:val="22"/>
        </w:rPr>
        <w:t>subsidiaries</w:t>
      </w:r>
      <w:r w:rsidRPr="00F32AE9">
        <w:rPr>
          <w:rFonts w:ascii="Arial" w:hAnsi="Arial" w:cs="Arial"/>
          <w:sz w:val="22"/>
          <w:szCs w:val="22"/>
        </w:rPr>
        <w:t xml:space="preserve"> and of </w:t>
      </w:r>
      <w:r w:rsidR="00174371" w:rsidRPr="00F32AE9">
        <w:rPr>
          <w:rFonts w:ascii="Arial" w:hAnsi="Arial" w:cs="Arial"/>
          <w:sz w:val="22"/>
          <w:szCs w:val="22"/>
        </w:rPr>
        <w:t>BTS Group Holdings Public Company Limited</w:t>
      </w:r>
      <w:r w:rsidRPr="00F32AE9">
        <w:rPr>
          <w:rFonts w:ascii="Arial" w:hAnsi="Arial" w:cs="Arial"/>
          <w:sz w:val="22"/>
          <w:szCs w:val="22"/>
        </w:rPr>
        <w:t xml:space="preserve"> as at </w:t>
      </w:r>
      <w:r w:rsidR="00174371" w:rsidRPr="00F32AE9">
        <w:rPr>
          <w:rFonts w:ascii="Arial" w:hAnsi="Arial" w:cs="Arial"/>
          <w:sz w:val="22"/>
          <w:szCs w:val="22"/>
        </w:rPr>
        <w:t xml:space="preserve">31 March </w:t>
      </w:r>
      <w:r w:rsidR="00862AFD">
        <w:rPr>
          <w:rFonts w:ascii="Arial" w:hAnsi="Arial" w:cs="Arial"/>
          <w:sz w:val="22"/>
          <w:szCs w:val="22"/>
        </w:rPr>
        <w:t>202</w:t>
      </w:r>
      <w:r w:rsidR="00DB670F">
        <w:rPr>
          <w:rFonts w:ascii="Arial" w:hAnsi="Arial" w:cs="Arial"/>
          <w:sz w:val="22"/>
          <w:szCs w:val="22"/>
        </w:rPr>
        <w:t>6</w:t>
      </w:r>
      <w:r w:rsidRPr="00F32AE9">
        <w:rPr>
          <w:rFonts w:ascii="Arial" w:hAnsi="Arial" w:cs="Arial"/>
          <w:sz w:val="22"/>
          <w:szCs w:val="22"/>
        </w:rPr>
        <w:t>, their financial performance and cash flows for the year then ended in accordance with Thai Financial Reporting Standards.</w:t>
      </w:r>
    </w:p>
    <w:p w14:paraId="4FBBCB21" w14:textId="77777777" w:rsidR="00556767" w:rsidRPr="00F32AE9" w:rsidRDefault="00556767" w:rsidP="002903B7">
      <w:pPr>
        <w:overflowPunct/>
        <w:autoSpaceDE/>
        <w:autoSpaceDN/>
        <w:adjustRightInd/>
        <w:spacing w:before="240" w:after="120" w:line="380" w:lineRule="exact"/>
        <w:textAlignment w:val="auto"/>
        <w:rPr>
          <w:rFonts w:ascii="Arial" w:hAnsi="Arial" w:cs="Arial"/>
          <w:b/>
          <w:bCs/>
          <w:color w:val="000000"/>
          <w:sz w:val="22"/>
          <w:szCs w:val="22"/>
        </w:rPr>
      </w:pPr>
      <w:r w:rsidRPr="00F32AE9">
        <w:rPr>
          <w:rFonts w:ascii="Arial" w:hAnsi="Arial" w:cs="Arial"/>
          <w:b/>
          <w:bCs/>
          <w:color w:val="000000"/>
          <w:sz w:val="22"/>
          <w:szCs w:val="22"/>
        </w:rPr>
        <w:t>Basis for Opinion</w:t>
      </w:r>
    </w:p>
    <w:p w14:paraId="726C9BE8" w14:textId="2326349F" w:rsidR="00C560B3" w:rsidRPr="0058626B" w:rsidRDefault="0058626B" w:rsidP="002903B7">
      <w:pPr>
        <w:overflowPunct/>
        <w:autoSpaceDE/>
        <w:autoSpaceDN/>
        <w:adjustRightInd/>
        <w:spacing w:before="120" w:after="120" w:line="380" w:lineRule="exact"/>
        <w:textAlignment w:val="auto"/>
        <w:rPr>
          <w:rFonts w:ascii="Arial" w:hAnsi="Arial" w:cstheme="minorBidi"/>
          <w:color w:val="000000"/>
          <w:sz w:val="22"/>
          <w:szCs w:val="22"/>
        </w:rPr>
      </w:pPr>
      <w:r w:rsidRPr="0058626B">
        <w:rPr>
          <w:rFonts w:ascii="Arial" w:hAnsi="Arial" w:cs="Arial"/>
          <w:sz w:val="22"/>
          <w:szCs w:val="22"/>
        </w:rPr>
        <w:t xml:space="preserve">I conducted my audit in accordance with Thai Standards on Auditing. My responsibilities under those standards are further described in the </w:t>
      </w:r>
      <w:r w:rsidRPr="000C27C6">
        <w:rPr>
          <w:rFonts w:ascii="Arial" w:hAnsi="Arial" w:cs="Arial"/>
          <w:i/>
          <w:iCs/>
          <w:sz w:val="22"/>
          <w:szCs w:val="22"/>
        </w:rPr>
        <w:t>Auditor’s Responsibilities for the Audit of the Financial Statements</w:t>
      </w:r>
      <w:r w:rsidRPr="0058626B">
        <w:rPr>
          <w:rFonts w:ascii="Arial" w:hAnsi="Arial" w:cs="Arial"/>
          <w:sz w:val="22"/>
          <w:szCs w:val="22"/>
        </w:rPr>
        <w:t xml:space="preserve"> section of my report. I am independent of the Group in accordance with </w:t>
      </w:r>
      <w:r w:rsidR="002903B7">
        <w:rPr>
          <w:rFonts w:ascii="Arial" w:hAnsi="Arial" w:cs="Arial"/>
          <w:sz w:val="22"/>
          <w:szCs w:val="22"/>
        </w:rPr>
        <w:t xml:space="preserve">                                </w:t>
      </w:r>
      <w:r w:rsidRPr="0058626B">
        <w:rPr>
          <w:rFonts w:ascii="Arial" w:hAnsi="Arial" w:cs="Arial"/>
          <w:sz w:val="22"/>
          <w:szCs w:val="22"/>
        </w:rPr>
        <w:t xml:space="preserve">the </w:t>
      </w:r>
      <w:r w:rsidRPr="000C27C6">
        <w:rPr>
          <w:rFonts w:ascii="Arial" w:hAnsi="Arial" w:cs="Arial"/>
          <w:i/>
          <w:iCs/>
          <w:sz w:val="22"/>
          <w:szCs w:val="22"/>
        </w:rPr>
        <w:t>Code of Ethics for Professional Accountants</w:t>
      </w:r>
      <w:r w:rsidRPr="000C27C6">
        <w:rPr>
          <w:rFonts w:ascii="Arial" w:hAnsi="Arial" w:cstheme="minorBidi"/>
          <w:i/>
          <w:iCs/>
          <w:sz w:val="22"/>
          <w:szCs w:val="22"/>
        </w:rPr>
        <w:t xml:space="preserve"> including Independence Standards</w:t>
      </w:r>
      <w:r w:rsidRPr="0058626B">
        <w:rPr>
          <w:rFonts w:ascii="Arial" w:hAnsi="Arial" w:cs="Arial"/>
          <w:sz w:val="22"/>
          <w:szCs w:val="22"/>
        </w:rPr>
        <w:t xml:space="preserve"> </w:t>
      </w:r>
      <w:r w:rsidRPr="0058626B">
        <w:rPr>
          <w:rFonts w:ascii="Arial" w:hAnsi="Arial" w:cs="Browallia New"/>
          <w:sz w:val="22"/>
          <w:szCs w:val="28"/>
        </w:rPr>
        <w:t xml:space="preserve">issued by </w:t>
      </w:r>
      <w:r w:rsidR="002903B7">
        <w:rPr>
          <w:rFonts w:ascii="Arial" w:hAnsi="Arial" w:cs="Browallia New"/>
          <w:sz w:val="22"/>
          <w:szCs w:val="28"/>
        </w:rPr>
        <w:t xml:space="preserve">                              </w:t>
      </w:r>
      <w:r w:rsidRPr="0058626B">
        <w:rPr>
          <w:rFonts w:ascii="Arial" w:hAnsi="Arial" w:cs="Arial"/>
          <w:sz w:val="22"/>
          <w:szCs w:val="22"/>
        </w:rPr>
        <w:t>the Federation of Accounting Professions (Code of Ethics for Professional Accountants)</w:t>
      </w:r>
      <w:r w:rsidR="002903B7">
        <w:rPr>
          <w:rFonts w:ascii="Arial" w:hAnsi="Arial" w:cs="Arial"/>
          <w:sz w:val="22"/>
          <w:szCs w:val="22"/>
        </w:rPr>
        <w:t xml:space="preserve">                                                  </w:t>
      </w:r>
      <w:r w:rsidRPr="0058626B">
        <w:rPr>
          <w:rFonts w:ascii="Arial" w:hAnsi="Arial" w:cs="Arial"/>
          <w:sz w:val="22"/>
          <w:szCs w:val="22"/>
        </w:rPr>
        <w:t xml:space="preserve">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4BA61B33" w14:textId="77777777" w:rsidR="00C8192F" w:rsidRDefault="00C8192F" w:rsidP="002903B7">
      <w:pPr>
        <w:overflowPunct/>
        <w:autoSpaceDE/>
        <w:autoSpaceDN/>
        <w:adjustRightInd/>
        <w:spacing w:before="120" w:after="120" w:line="380" w:lineRule="exact"/>
        <w:textAlignment w:val="auto"/>
        <w:rPr>
          <w:rFonts w:ascii="Arial" w:hAnsi="Arial" w:cstheme="minorBidi"/>
          <w:color w:val="000000"/>
          <w:sz w:val="22"/>
          <w:szCs w:val="22"/>
        </w:rPr>
      </w:pPr>
    </w:p>
    <w:p w14:paraId="3E6E608C" w14:textId="77777777" w:rsidR="00C8192F" w:rsidRPr="00C8192F" w:rsidRDefault="00C8192F" w:rsidP="002903B7">
      <w:pPr>
        <w:overflowPunct/>
        <w:autoSpaceDE/>
        <w:autoSpaceDN/>
        <w:adjustRightInd/>
        <w:spacing w:before="120" w:after="120" w:line="380" w:lineRule="exact"/>
        <w:textAlignment w:val="auto"/>
        <w:rPr>
          <w:rFonts w:ascii="Arial" w:hAnsi="Arial" w:cstheme="minorBidi"/>
          <w:color w:val="000000"/>
          <w:sz w:val="22"/>
          <w:szCs w:val="22"/>
        </w:rPr>
        <w:sectPr w:rsidR="00C8192F" w:rsidRPr="00C8192F" w:rsidSect="00500D23">
          <w:footerReference w:type="first" r:id="rId10"/>
          <w:pgSz w:w="11909" w:h="16834" w:code="9"/>
          <w:pgMar w:top="3312" w:right="1080" w:bottom="720" w:left="1339" w:header="706" w:footer="706" w:gutter="0"/>
          <w:pgNumType w:start="2"/>
          <w:cols w:space="720"/>
          <w:titlePg/>
          <w:docGrid w:linePitch="326"/>
        </w:sectPr>
      </w:pPr>
    </w:p>
    <w:p w14:paraId="2B7ABFB7" w14:textId="77777777" w:rsidR="004A34CF" w:rsidRPr="00162C06" w:rsidRDefault="004A34CF" w:rsidP="002903B7">
      <w:pPr>
        <w:overflowPunct/>
        <w:autoSpaceDE/>
        <w:autoSpaceDN/>
        <w:adjustRightInd/>
        <w:spacing w:before="240" w:after="120" w:line="380" w:lineRule="exact"/>
        <w:textAlignment w:val="auto"/>
        <w:rPr>
          <w:rFonts w:ascii="Arial" w:hAnsi="Arial" w:cstheme="minorBidi"/>
          <w:b/>
          <w:bCs/>
          <w:sz w:val="22"/>
          <w:szCs w:val="22"/>
        </w:rPr>
      </w:pPr>
      <w:r w:rsidRPr="00162C06">
        <w:rPr>
          <w:rFonts w:ascii="Arial" w:hAnsi="Arial" w:cs="Arial"/>
          <w:b/>
          <w:bCs/>
          <w:sz w:val="22"/>
          <w:szCs w:val="22"/>
        </w:rPr>
        <w:lastRenderedPageBreak/>
        <w:t>Emphasis of Matter</w:t>
      </w:r>
      <w:r w:rsidR="0097416A" w:rsidRPr="00162C06">
        <w:rPr>
          <w:rFonts w:ascii="Arial" w:hAnsi="Arial" w:cs="Arial"/>
          <w:b/>
          <w:bCs/>
          <w:sz w:val="22"/>
          <w:szCs w:val="22"/>
        </w:rPr>
        <w:t>s</w:t>
      </w:r>
    </w:p>
    <w:p w14:paraId="5F170CFD" w14:textId="1CC8D148" w:rsidR="00773181" w:rsidRPr="00162C06" w:rsidRDefault="0028679F" w:rsidP="002903B7">
      <w:pPr>
        <w:spacing w:before="120" w:after="120" w:line="380" w:lineRule="exact"/>
        <w:rPr>
          <w:rFonts w:ascii="Arial" w:hAnsi="Arial" w:cs="Arial"/>
          <w:spacing w:val="-3"/>
          <w:sz w:val="22"/>
          <w:szCs w:val="22"/>
        </w:rPr>
      </w:pPr>
      <w:r w:rsidRPr="00162C06">
        <w:rPr>
          <w:rFonts w:ascii="Arial" w:hAnsi="Arial" w:cs="Arial"/>
          <w:spacing w:val="-3"/>
          <w:sz w:val="22"/>
          <w:szCs w:val="22"/>
        </w:rPr>
        <w:t>I draw attention to the following notes to the financial statements</w:t>
      </w:r>
      <w:r w:rsidR="00773181" w:rsidRPr="00162C06">
        <w:rPr>
          <w:rFonts w:ascii="Arial" w:hAnsi="Arial" w:cs="Arial"/>
          <w:spacing w:val="-3"/>
          <w:sz w:val="22"/>
          <w:szCs w:val="22"/>
        </w:rPr>
        <w:t>:</w:t>
      </w:r>
    </w:p>
    <w:p w14:paraId="6FE8D137" w14:textId="0E474945" w:rsidR="00511B25" w:rsidRPr="00162C06" w:rsidRDefault="00511B25" w:rsidP="002903B7">
      <w:pPr>
        <w:pStyle w:val="ListParagraph"/>
        <w:numPr>
          <w:ilvl w:val="0"/>
          <w:numId w:val="2"/>
        </w:numPr>
        <w:spacing w:before="120" w:after="120" w:line="380" w:lineRule="exact"/>
        <w:ind w:left="360" w:right="-140"/>
        <w:contextualSpacing w:val="0"/>
        <w:rPr>
          <w:rFonts w:ascii="Arial" w:hAnsi="Arial" w:cs="Arial"/>
          <w:spacing w:val="-3"/>
          <w:szCs w:val="22"/>
        </w:rPr>
      </w:pPr>
      <w:r w:rsidRPr="00162C06">
        <w:rPr>
          <w:rFonts w:ascii="Arial" w:hAnsi="Arial" w:cs="Arial"/>
          <w:szCs w:val="22"/>
        </w:rPr>
        <w:t xml:space="preserve">Note </w:t>
      </w:r>
      <w:r w:rsidR="00B306F8" w:rsidRPr="00162C06">
        <w:rPr>
          <w:rFonts w:ascii="Arial" w:hAnsi="Arial" w:cs="Browallia New"/>
        </w:rPr>
        <w:t>12.1</w:t>
      </w:r>
      <w:r w:rsidRPr="00162C06">
        <w:rPr>
          <w:rFonts w:ascii="Arial" w:hAnsi="Arial" w:cs="Arial"/>
          <w:szCs w:val="22"/>
        </w:rPr>
        <w:t xml:space="preserve"> to the financial statements regarding the receipt of payment for debts </w:t>
      </w:r>
      <w:r w:rsidRPr="00162C06">
        <w:rPr>
          <w:rFonts w:ascii="Arial" w:hAnsi="Arial" w:cs="Browallia New"/>
        </w:rPr>
        <w:t>related to</w:t>
      </w:r>
      <w:r w:rsidRPr="00162C06">
        <w:rPr>
          <w:rFonts w:ascii="Arial" w:hAnsi="Arial" w:cs="Arial"/>
          <w:szCs w:val="22"/>
        </w:rPr>
        <w:t xml:space="preserve"> the lawsuit</w:t>
      </w:r>
      <w:r w:rsidRPr="00162C06">
        <w:rPr>
          <w:rFonts w:ascii="Arial" w:hAnsi="Arial" w:cs="Arial" w:hint="cs"/>
          <w:szCs w:val="22"/>
          <w:cs/>
        </w:rPr>
        <w:t xml:space="preserve"> </w:t>
      </w:r>
      <w:r w:rsidRPr="00162C06">
        <w:rPr>
          <w:rFonts w:ascii="Arial" w:hAnsi="Arial" w:cs="Arial"/>
          <w:szCs w:val="22"/>
        </w:rPr>
        <w:t>filed by a subsidiary with the Central Administrative Court against Krungthep Thanakom Company Limited and the Bangkok Metropolitan Administration to have them settle the debt under the Operating and Maintenance</w:t>
      </w:r>
      <w:r w:rsidR="00FA5045">
        <w:rPr>
          <w:rFonts w:ascii="Arial" w:hAnsi="Arial" w:cstheme="minorBidi" w:hint="cs"/>
          <w:szCs w:val="22"/>
          <w:cs/>
        </w:rPr>
        <w:t xml:space="preserve"> </w:t>
      </w:r>
      <w:r w:rsidR="00FA5045">
        <w:rPr>
          <w:rFonts w:ascii="Arial" w:hAnsi="Arial" w:cstheme="minorBidi"/>
          <w:szCs w:val="22"/>
        </w:rPr>
        <w:t>Service</w:t>
      </w:r>
      <w:r w:rsidRPr="00162C06">
        <w:rPr>
          <w:rFonts w:ascii="Arial" w:hAnsi="Arial" w:cs="Arial"/>
          <w:szCs w:val="22"/>
        </w:rPr>
        <w:t xml:space="preserve"> </w:t>
      </w:r>
      <w:r w:rsidR="00FA5045">
        <w:rPr>
          <w:rFonts w:ascii="Arial" w:hAnsi="Arial" w:cs="Arial"/>
          <w:szCs w:val="22"/>
        </w:rPr>
        <w:t>A</w:t>
      </w:r>
      <w:r w:rsidRPr="00162C06">
        <w:rPr>
          <w:rFonts w:ascii="Arial" w:hAnsi="Arial" w:cs="Arial"/>
          <w:szCs w:val="22"/>
        </w:rPr>
        <w:t>greements for the Phase 1 Extension Line and for the Phase 2 Extension Line of the Green Line Project, as well as the</w:t>
      </w:r>
      <w:r w:rsidRPr="00162C06">
        <w:rPr>
          <w:rFonts w:ascii="Arial" w:hAnsi="Arial" w:cstheme="minorBidi" w:hint="cs"/>
          <w:szCs w:val="22"/>
          <w:cs/>
        </w:rPr>
        <w:t xml:space="preserve"> </w:t>
      </w:r>
      <w:r w:rsidRPr="00162C06">
        <w:rPr>
          <w:rFonts w:ascii="Arial" w:hAnsi="Arial" w:cs="Arial"/>
          <w:szCs w:val="22"/>
        </w:rPr>
        <w:t xml:space="preserve">consideration of the allowance derived from time value of money calculation. </w:t>
      </w:r>
    </w:p>
    <w:p w14:paraId="24FFBC2E" w14:textId="2DDCA3D2" w:rsidR="00927840" w:rsidRPr="00162C06" w:rsidRDefault="00502F4C" w:rsidP="002903B7">
      <w:pPr>
        <w:pStyle w:val="ListParagraph"/>
        <w:numPr>
          <w:ilvl w:val="0"/>
          <w:numId w:val="2"/>
        </w:numPr>
        <w:spacing w:before="120" w:after="120" w:line="380" w:lineRule="exact"/>
        <w:ind w:left="360"/>
        <w:contextualSpacing w:val="0"/>
        <w:rPr>
          <w:rFonts w:ascii="Arial" w:hAnsi="Arial" w:cs="Arial"/>
          <w:spacing w:val="-3"/>
          <w:szCs w:val="22"/>
        </w:rPr>
      </w:pPr>
      <w:r w:rsidRPr="00162C06">
        <w:rPr>
          <w:rFonts w:ascii="Arial" w:hAnsi="Arial" w:cs="Arial"/>
          <w:spacing w:val="-3"/>
          <w:szCs w:val="22"/>
        </w:rPr>
        <w:t xml:space="preserve">Note </w:t>
      </w:r>
      <w:r w:rsidR="001E5D6F" w:rsidRPr="00162C06">
        <w:rPr>
          <w:rFonts w:ascii="Arial" w:hAnsi="Arial" w:cstheme="minorBidi"/>
          <w:spacing w:val="-3"/>
          <w:szCs w:val="22"/>
        </w:rPr>
        <w:t>1</w:t>
      </w:r>
      <w:r w:rsidR="00DC76EA" w:rsidRPr="00162C06">
        <w:rPr>
          <w:rFonts w:ascii="Arial" w:hAnsi="Arial" w:cstheme="minorBidi"/>
          <w:spacing w:val="-3"/>
          <w:szCs w:val="22"/>
        </w:rPr>
        <w:t>6</w:t>
      </w:r>
      <w:r w:rsidRPr="00162C06">
        <w:rPr>
          <w:rFonts w:ascii="Arial" w:hAnsi="Arial" w:cs="Arial"/>
          <w:spacing w:val="-3"/>
          <w:szCs w:val="22"/>
        </w:rPr>
        <w:t xml:space="preserve"> and 1</w:t>
      </w:r>
      <w:r w:rsidR="00DC76EA" w:rsidRPr="00162C06">
        <w:rPr>
          <w:rFonts w:ascii="Arial" w:hAnsi="Arial" w:cs="Arial"/>
          <w:spacing w:val="-3"/>
          <w:szCs w:val="22"/>
        </w:rPr>
        <w:t>8</w:t>
      </w:r>
      <w:r w:rsidRPr="00162C06">
        <w:rPr>
          <w:rFonts w:ascii="Arial" w:hAnsi="Arial" w:cs="Arial"/>
          <w:spacing w:val="-3"/>
          <w:szCs w:val="22"/>
        </w:rPr>
        <w:t xml:space="preserve"> to the financial statements</w:t>
      </w:r>
      <w:r w:rsidRPr="00162C06">
        <w:rPr>
          <w:rFonts w:ascii="Arial" w:hAnsi="Arial" w:cs="Arial" w:hint="cs"/>
          <w:spacing w:val="-3"/>
          <w:szCs w:val="22"/>
          <w:cs/>
        </w:rPr>
        <w:t xml:space="preserve"> </w:t>
      </w:r>
      <w:r w:rsidR="00454317" w:rsidRPr="00162C06">
        <w:rPr>
          <w:rFonts w:ascii="Arial" w:hAnsi="Arial" w:cs="Arial"/>
          <w:spacing w:val="-3"/>
          <w:szCs w:val="22"/>
        </w:rPr>
        <w:t>regarding the valuation assessment of the investments in subsidiaries and associates</w:t>
      </w:r>
      <w:r w:rsidR="004E7322">
        <w:rPr>
          <w:rFonts w:ascii="Arial" w:hAnsi="Arial" w:cs="Arial"/>
          <w:spacing w:val="-3"/>
          <w:szCs w:val="22"/>
        </w:rPr>
        <w:t xml:space="preserve"> listed on the Stock Exchange of Thailand</w:t>
      </w:r>
      <w:r w:rsidR="00454317" w:rsidRPr="00162C06">
        <w:rPr>
          <w:rFonts w:ascii="Arial" w:hAnsi="Arial" w:cs="Arial"/>
          <w:spacing w:val="-3"/>
          <w:szCs w:val="22"/>
        </w:rPr>
        <w:t>.</w:t>
      </w:r>
    </w:p>
    <w:p w14:paraId="6FDAF14D" w14:textId="5272CD19" w:rsidR="007B6FB8" w:rsidRPr="00162C06" w:rsidRDefault="007B6FB8" w:rsidP="002903B7">
      <w:pPr>
        <w:pStyle w:val="ListParagraph"/>
        <w:numPr>
          <w:ilvl w:val="0"/>
          <w:numId w:val="2"/>
        </w:numPr>
        <w:spacing w:before="120" w:after="120" w:line="380" w:lineRule="exact"/>
        <w:ind w:left="360"/>
        <w:contextualSpacing w:val="0"/>
        <w:rPr>
          <w:rFonts w:ascii="Arial" w:hAnsi="Arial" w:cs="Arial"/>
          <w:spacing w:val="-3"/>
          <w:szCs w:val="22"/>
        </w:rPr>
      </w:pPr>
      <w:r w:rsidRPr="00162C06">
        <w:rPr>
          <w:rFonts w:ascii="Arial" w:hAnsi="Arial" w:cs="Arial"/>
          <w:spacing w:val="-3"/>
          <w:szCs w:val="22"/>
        </w:rPr>
        <w:t xml:space="preserve">Note 16.1.4 to the financial statements regarding the acquisition of a subsidiary, for which the measurement process of the fair values of the identifiable assets acquired and </w:t>
      </w:r>
      <w:r w:rsidR="007F19F4" w:rsidRPr="00162C06">
        <w:rPr>
          <w:rFonts w:ascii="Arial" w:hAnsi="Arial" w:cs="Arial"/>
          <w:spacing w:val="-3"/>
          <w:szCs w:val="22"/>
        </w:rPr>
        <w:t xml:space="preserve">the </w:t>
      </w:r>
      <w:r w:rsidRPr="00162C06">
        <w:rPr>
          <w:rFonts w:ascii="Arial" w:hAnsi="Arial" w:cs="Arial"/>
          <w:spacing w:val="-3"/>
          <w:szCs w:val="22"/>
        </w:rPr>
        <w:t>liabilities assumed at the acquisition date was completed during the</w:t>
      </w:r>
      <w:r w:rsidR="00E75A89">
        <w:rPr>
          <w:rFonts w:ascii="Arial" w:hAnsi="Arial" w:cs="Arial"/>
          <w:spacing w:val="-3"/>
          <w:szCs w:val="22"/>
        </w:rPr>
        <w:t xml:space="preserve"> year.</w:t>
      </w:r>
    </w:p>
    <w:p w14:paraId="4F89746E" w14:textId="74B2DDDD" w:rsidR="00B01BD7" w:rsidRPr="00162C06" w:rsidRDefault="00B01BD7" w:rsidP="002903B7">
      <w:pPr>
        <w:overflowPunct/>
        <w:autoSpaceDE/>
        <w:autoSpaceDN/>
        <w:adjustRightInd/>
        <w:spacing w:before="120" w:after="120" w:line="380" w:lineRule="exact"/>
        <w:textAlignment w:val="auto"/>
        <w:rPr>
          <w:rFonts w:ascii="Arial" w:hAnsi="Arial" w:cs="Arial"/>
          <w:sz w:val="22"/>
          <w:szCs w:val="22"/>
        </w:rPr>
      </w:pPr>
      <w:r w:rsidRPr="00162C06">
        <w:rPr>
          <w:rFonts w:ascii="Arial" w:hAnsi="Arial" w:cs="Arial"/>
          <w:sz w:val="22"/>
          <w:szCs w:val="22"/>
        </w:rPr>
        <w:t xml:space="preserve">My opinion is not modified in respect of </w:t>
      </w:r>
      <w:r w:rsidR="00632E4E" w:rsidRPr="00162C06">
        <w:rPr>
          <w:rFonts w:ascii="Arial" w:hAnsi="Arial" w:cs="Arial"/>
          <w:sz w:val="22"/>
          <w:szCs w:val="22"/>
        </w:rPr>
        <w:t>th</w:t>
      </w:r>
      <w:r w:rsidR="0091107D" w:rsidRPr="00162C06">
        <w:rPr>
          <w:rFonts w:ascii="Arial" w:hAnsi="Arial" w:cs="Browallia New"/>
          <w:sz w:val="22"/>
          <w:szCs w:val="28"/>
        </w:rPr>
        <w:t>e</w:t>
      </w:r>
      <w:r w:rsidR="00632E4E" w:rsidRPr="00162C06">
        <w:rPr>
          <w:rFonts w:ascii="Arial" w:hAnsi="Arial" w:cs="Arial"/>
          <w:sz w:val="22"/>
          <w:szCs w:val="22"/>
        </w:rPr>
        <w:t>s</w:t>
      </w:r>
      <w:r w:rsidR="0091107D" w:rsidRPr="00162C06">
        <w:rPr>
          <w:rFonts w:ascii="Arial" w:hAnsi="Arial" w:cs="Arial"/>
          <w:sz w:val="22"/>
          <w:szCs w:val="22"/>
        </w:rPr>
        <w:t>e</w:t>
      </w:r>
      <w:r w:rsidR="00632E4E" w:rsidRPr="00162C06">
        <w:rPr>
          <w:rFonts w:ascii="Arial" w:hAnsi="Arial" w:cs="Arial"/>
          <w:sz w:val="22"/>
          <w:szCs w:val="22"/>
        </w:rPr>
        <w:t xml:space="preserve"> matter</w:t>
      </w:r>
      <w:r w:rsidR="0091107D" w:rsidRPr="00162C06">
        <w:rPr>
          <w:rFonts w:ascii="Arial" w:hAnsi="Arial" w:cs="Arial"/>
          <w:sz w:val="22"/>
          <w:szCs w:val="22"/>
        </w:rPr>
        <w:t>s</w:t>
      </w:r>
      <w:r w:rsidR="00632E4E" w:rsidRPr="00162C06">
        <w:rPr>
          <w:rFonts w:ascii="Arial" w:hAnsi="Arial" w:cs="Arial"/>
          <w:sz w:val="22"/>
          <w:szCs w:val="22"/>
        </w:rPr>
        <w:t>.</w:t>
      </w:r>
    </w:p>
    <w:p w14:paraId="674488C9" w14:textId="42E5ED02" w:rsidR="00556767" w:rsidRPr="00F32AE9" w:rsidRDefault="00556767" w:rsidP="002903B7">
      <w:pPr>
        <w:overflowPunct/>
        <w:autoSpaceDE/>
        <w:autoSpaceDN/>
        <w:adjustRightInd/>
        <w:spacing w:before="240" w:after="120" w:line="380" w:lineRule="exact"/>
        <w:textAlignment w:val="auto"/>
        <w:rPr>
          <w:rFonts w:ascii="Arial" w:hAnsi="Arial" w:cs="Arial"/>
          <w:b/>
          <w:bCs/>
          <w:color w:val="000000"/>
          <w:sz w:val="22"/>
          <w:szCs w:val="22"/>
        </w:rPr>
      </w:pPr>
      <w:r w:rsidRPr="00F32AE9">
        <w:rPr>
          <w:rFonts w:ascii="Arial" w:hAnsi="Arial" w:cs="Arial"/>
          <w:b/>
          <w:bCs/>
          <w:color w:val="000000"/>
          <w:sz w:val="22"/>
          <w:szCs w:val="22"/>
        </w:rPr>
        <w:t>Key Audit Matters</w:t>
      </w:r>
    </w:p>
    <w:p w14:paraId="4B406547" w14:textId="77777777" w:rsidR="0012413B" w:rsidRDefault="00556767" w:rsidP="002903B7">
      <w:pPr>
        <w:overflowPunct/>
        <w:autoSpaceDE/>
        <w:autoSpaceDN/>
        <w:adjustRightInd/>
        <w:spacing w:before="120" w:after="120" w:line="380" w:lineRule="exact"/>
        <w:textAlignment w:val="auto"/>
        <w:rPr>
          <w:rFonts w:ascii="Arial" w:hAnsi="Arial" w:cs="Arial"/>
          <w:color w:val="000000"/>
          <w:sz w:val="22"/>
          <w:szCs w:val="22"/>
        </w:rPr>
      </w:pPr>
      <w:r w:rsidRPr="00F32AE9">
        <w:rPr>
          <w:rFonts w:ascii="Arial" w:hAnsi="Arial" w:cs="Arial"/>
          <w:color w:val="000000"/>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 </w:t>
      </w:r>
    </w:p>
    <w:p w14:paraId="5A1DC5B8" w14:textId="78BB5888" w:rsidR="0052546B" w:rsidRDefault="00556767" w:rsidP="002903B7">
      <w:pPr>
        <w:overflowPunct/>
        <w:autoSpaceDE/>
        <w:autoSpaceDN/>
        <w:adjustRightInd/>
        <w:spacing w:before="120" w:after="120" w:line="380" w:lineRule="exact"/>
        <w:textAlignment w:val="auto"/>
        <w:rPr>
          <w:rFonts w:ascii="Arial" w:hAnsi="Arial" w:cs="Arial"/>
          <w:color w:val="000000"/>
          <w:sz w:val="22"/>
          <w:szCs w:val="22"/>
        </w:rPr>
      </w:pPr>
      <w:r w:rsidRPr="008C64FA">
        <w:rPr>
          <w:rFonts w:ascii="Arial" w:hAnsi="Arial" w:cs="Arial"/>
          <w:color w:val="000000"/>
          <w:sz w:val="22"/>
          <w:szCs w:val="22"/>
        </w:rPr>
        <w:t xml:space="preserve">I have fulfilled the responsibilities described in the </w:t>
      </w:r>
      <w:r w:rsidRPr="008C64FA">
        <w:rPr>
          <w:rFonts w:ascii="Arial" w:hAnsi="Arial" w:cs="Arial"/>
          <w:i/>
          <w:iCs/>
          <w:color w:val="000000"/>
          <w:sz w:val="22"/>
          <w:szCs w:val="22"/>
        </w:rPr>
        <w:t>Auditor’s Responsibilities for the</w:t>
      </w:r>
      <w:r w:rsidRPr="008C64FA">
        <w:rPr>
          <w:rFonts w:ascii="Arial" w:hAnsi="Arial" w:cs="Arial"/>
          <w:color w:val="000000"/>
          <w:sz w:val="22"/>
          <w:szCs w:val="22"/>
        </w:rPr>
        <w:t xml:space="preserve"> </w:t>
      </w:r>
      <w:r w:rsidRPr="008C64FA">
        <w:rPr>
          <w:rFonts w:ascii="Arial" w:hAnsi="Arial" w:cs="Arial"/>
          <w:i/>
          <w:iCs/>
          <w:color w:val="000000"/>
          <w:sz w:val="22"/>
          <w:szCs w:val="22"/>
        </w:rPr>
        <w:t>Audit of the Financial Statements</w:t>
      </w:r>
      <w:r w:rsidRPr="008C64FA">
        <w:rPr>
          <w:rFonts w:ascii="Arial" w:hAnsi="Arial" w:cs="Arial"/>
          <w:color w:val="000000"/>
          <w:sz w:val="22"/>
          <w:szCs w:val="22"/>
        </w:rPr>
        <w:t xml:space="preserve"> section of my report, including in relation to these matters. Accordingly, </w:t>
      </w:r>
      <w:r w:rsidR="00067BDB" w:rsidRPr="008C64FA">
        <w:rPr>
          <w:rFonts w:ascii="Arial" w:hAnsi="Arial" w:cs="Arial"/>
          <w:color w:val="000000"/>
          <w:sz w:val="22"/>
          <w:szCs w:val="22"/>
          <w:cs/>
        </w:rPr>
        <w:t xml:space="preserve">                        </w:t>
      </w:r>
      <w:r w:rsidRPr="008C64FA">
        <w:rPr>
          <w:rFonts w:ascii="Arial" w:hAnsi="Arial" w:cs="Arial"/>
          <w:color w:val="000000"/>
          <w:sz w:val="22"/>
          <w:szCs w:val="22"/>
        </w:rPr>
        <w:t>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7D91C9C9" w14:textId="77777777" w:rsidR="002903B7" w:rsidRDefault="002903B7">
      <w:pPr>
        <w:overflowPunct/>
        <w:autoSpaceDE/>
        <w:autoSpaceDN/>
        <w:adjustRightInd/>
        <w:spacing w:after="200" w:line="276" w:lineRule="auto"/>
        <w:textAlignment w:val="auto"/>
        <w:rPr>
          <w:rFonts w:ascii="Arial" w:hAnsi="Arial" w:cs="Arial"/>
          <w:color w:val="000000"/>
          <w:sz w:val="22"/>
          <w:szCs w:val="22"/>
        </w:rPr>
      </w:pPr>
      <w:r>
        <w:rPr>
          <w:rFonts w:ascii="Arial" w:hAnsi="Arial" w:cs="Arial"/>
          <w:color w:val="000000"/>
          <w:sz w:val="22"/>
          <w:szCs w:val="22"/>
        </w:rPr>
        <w:br w:type="page"/>
      </w:r>
    </w:p>
    <w:p w14:paraId="6D416D28" w14:textId="7D8F4D34" w:rsidR="00087C17" w:rsidRPr="008C64FA" w:rsidRDefault="00087C17" w:rsidP="002903B7">
      <w:pPr>
        <w:overflowPunct/>
        <w:autoSpaceDE/>
        <w:autoSpaceDN/>
        <w:adjustRightInd/>
        <w:spacing w:before="120" w:after="120" w:line="380" w:lineRule="exact"/>
        <w:textAlignment w:val="auto"/>
        <w:rPr>
          <w:rFonts w:ascii="Arial" w:hAnsi="Arial" w:cs="Arial"/>
          <w:color w:val="000000"/>
          <w:sz w:val="22"/>
          <w:szCs w:val="22"/>
        </w:rPr>
      </w:pPr>
      <w:r w:rsidRPr="008C64FA">
        <w:rPr>
          <w:rFonts w:ascii="Arial" w:hAnsi="Arial" w:cs="Arial"/>
          <w:color w:val="000000"/>
          <w:sz w:val="22"/>
          <w:szCs w:val="22"/>
        </w:rPr>
        <w:lastRenderedPageBreak/>
        <w:t>Key audit matters and how audit procedures respond to each matter are</w:t>
      </w:r>
      <w:r w:rsidRPr="008C64FA">
        <w:rPr>
          <w:rFonts w:ascii="Arial" w:hAnsi="Arial" w:cs="Arial"/>
          <w:color w:val="000000"/>
          <w:sz w:val="22"/>
          <w:szCs w:val="22"/>
          <w:cs/>
        </w:rPr>
        <w:t xml:space="preserve"> </w:t>
      </w:r>
      <w:r w:rsidRPr="008C64FA">
        <w:rPr>
          <w:rFonts w:ascii="Arial" w:hAnsi="Arial" w:cs="Arial"/>
          <w:color w:val="000000"/>
          <w:sz w:val="22"/>
          <w:szCs w:val="22"/>
        </w:rPr>
        <w:t>described below.</w:t>
      </w:r>
    </w:p>
    <w:p w14:paraId="206FDD7E" w14:textId="77777777" w:rsidR="0065050C" w:rsidRPr="00F636EF" w:rsidRDefault="0065050C" w:rsidP="002903B7">
      <w:pPr>
        <w:overflowPunct/>
        <w:autoSpaceDE/>
        <w:autoSpaceDN/>
        <w:adjustRightInd/>
        <w:spacing w:before="240" w:after="120" w:line="380" w:lineRule="exact"/>
        <w:textAlignment w:val="auto"/>
        <w:rPr>
          <w:rFonts w:ascii="Arial" w:hAnsi="Arial" w:cs="Arial"/>
          <w:b/>
          <w:bCs/>
          <w:i/>
          <w:iCs/>
          <w:spacing w:val="-4"/>
          <w:sz w:val="22"/>
          <w:szCs w:val="22"/>
        </w:rPr>
      </w:pPr>
      <w:r w:rsidRPr="00F636EF">
        <w:rPr>
          <w:rFonts w:ascii="Arial" w:hAnsi="Arial" w:cs="Arial"/>
          <w:b/>
          <w:bCs/>
          <w:i/>
          <w:iCs/>
          <w:spacing w:val="-4"/>
          <w:sz w:val="22"/>
          <w:szCs w:val="22"/>
        </w:rPr>
        <w:t>Allowance for Impairment of Assets Related to Service Concession Agreements</w:t>
      </w:r>
    </w:p>
    <w:p w14:paraId="411C9224" w14:textId="4F28D6DA" w:rsidR="00801E38" w:rsidRPr="00F636EF" w:rsidRDefault="0065050C" w:rsidP="002903B7">
      <w:pPr>
        <w:spacing w:before="120" w:after="120" w:line="380" w:lineRule="exact"/>
        <w:rPr>
          <w:rFonts w:ascii="Arial" w:hAnsi="Arial" w:cs="Arial"/>
          <w:sz w:val="22"/>
          <w:szCs w:val="22"/>
        </w:rPr>
      </w:pPr>
      <w:r w:rsidRPr="00F636EF">
        <w:rPr>
          <w:rFonts w:ascii="Arial" w:hAnsi="Arial" w:cs="Arial"/>
          <w:sz w:val="22"/>
          <w:szCs w:val="22"/>
        </w:rPr>
        <w:t>As of 31 March 202</w:t>
      </w:r>
      <w:r w:rsidR="009B6352" w:rsidRPr="00F636EF">
        <w:rPr>
          <w:rFonts w:ascii="Arial" w:hAnsi="Arial" w:cs="Arial"/>
          <w:sz w:val="22"/>
          <w:szCs w:val="22"/>
        </w:rPr>
        <w:t>6</w:t>
      </w:r>
      <w:r w:rsidRPr="00F636EF">
        <w:rPr>
          <w:rFonts w:ascii="Arial" w:hAnsi="Arial" w:cs="Arial"/>
          <w:sz w:val="22"/>
          <w:szCs w:val="22"/>
        </w:rPr>
        <w:t>, the subsidiar</w:t>
      </w:r>
      <w:r w:rsidR="00CA0A4F" w:rsidRPr="00F636EF">
        <w:rPr>
          <w:rFonts w:ascii="Arial" w:hAnsi="Arial" w:cs="Arial"/>
          <w:sz w:val="22"/>
          <w:szCs w:val="22"/>
        </w:rPr>
        <w:t>ies</w:t>
      </w:r>
      <w:r w:rsidRPr="00F636EF">
        <w:rPr>
          <w:rFonts w:ascii="Arial" w:hAnsi="Arial" w:cs="Arial"/>
          <w:sz w:val="22"/>
          <w:szCs w:val="22"/>
        </w:rPr>
        <w:t xml:space="preserve"> have </w:t>
      </w:r>
      <w:r w:rsidR="006B5FF1" w:rsidRPr="00F636EF">
        <w:rPr>
          <w:rFonts w:ascii="Arial" w:hAnsi="Arial" w:cs="Arial"/>
          <w:sz w:val="22"/>
          <w:szCs w:val="22"/>
        </w:rPr>
        <w:t>balances</w:t>
      </w:r>
      <w:r w:rsidRPr="00F636EF">
        <w:rPr>
          <w:rFonts w:ascii="Arial" w:hAnsi="Arial" w:cs="Arial"/>
          <w:sz w:val="22"/>
          <w:szCs w:val="22"/>
        </w:rPr>
        <w:t xml:space="preserve"> of </w:t>
      </w:r>
      <w:r w:rsidR="009F0835" w:rsidRPr="00F636EF">
        <w:rPr>
          <w:rFonts w:ascii="Arial" w:hAnsi="Arial" w:cs="Arial"/>
          <w:sz w:val="22"/>
          <w:szCs w:val="22"/>
        </w:rPr>
        <w:t>the elevated train project costs</w:t>
      </w:r>
      <w:r w:rsidRPr="00F636EF">
        <w:rPr>
          <w:rFonts w:ascii="Arial" w:hAnsi="Arial" w:cs="Arial"/>
          <w:sz w:val="22"/>
          <w:szCs w:val="22"/>
        </w:rPr>
        <w:t xml:space="preserve"> related to service concession agreements</w:t>
      </w:r>
      <w:r w:rsidR="009F0835">
        <w:rPr>
          <w:rFonts w:ascii="Arial" w:hAnsi="Arial" w:cstheme="minorBidi" w:hint="cs"/>
          <w:sz w:val="22"/>
          <w:szCs w:val="22"/>
          <w:cs/>
        </w:rPr>
        <w:t xml:space="preserve"> </w:t>
      </w:r>
      <w:r w:rsidR="00F94C4B" w:rsidRPr="00F636EF">
        <w:rPr>
          <w:rFonts w:ascii="Arial" w:hAnsi="Arial" w:cs="Arial"/>
          <w:sz w:val="22"/>
          <w:szCs w:val="22"/>
        </w:rPr>
        <w:t>representing</w:t>
      </w:r>
      <w:r w:rsidR="00775D67">
        <w:rPr>
          <w:rFonts w:ascii="Arial" w:hAnsi="Arial" w:cs="Arial"/>
          <w:sz w:val="22"/>
          <w:szCs w:val="22"/>
        </w:rPr>
        <w:t xml:space="preserve"> 20</w:t>
      </w:r>
      <w:r w:rsidR="00F94C4B" w:rsidRPr="00F636EF">
        <w:rPr>
          <w:rFonts w:ascii="Arial" w:hAnsi="Arial" w:cs="Arial"/>
          <w:sz w:val="22"/>
          <w:szCs w:val="22"/>
        </w:rPr>
        <w:t xml:space="preserve">% of total assets in the </w:t>
      </w:r>
      <w:r w:rsidR="00216D2B" w:rsidRPr="00F636EF">
        <w:rPr>
          <w:rFonts w:ascii="Arial" w:hAnsi="Arial" w:cs="Arial"/>
          <w:sz w:val="22"/>
          <w:szCs w:val="22"/>
        </w:rPr>
        <w:t>consolidated</w:t>
      </w:r>
      <w:r w:rsidR="00F94C4B" w:rsidRPr="00F636EF">
        <w:rPr>
          <w:rFonts w:ascii="Arial" w:hAnsi="Arial" w:cs="Arial"/>
          <w:sz w:val="22"/>
          <w:szCs w:val="22"/>
        </w:rPr>
        <w:t xml:space="preserve"> financial statements</w:t>
      </w:r>
      <w:r w:rsidRPr="00F636EF">
        <w:rPr>
          <w:rFonts w:ascii="Arial" w:hAnsi="Arial" w:cs="Arial"/>
          <w:sz w:val="22"/>
          <w:szCs w:val="22"/>
        </w:rPr>
        <w:t>. The values of these balances are significant to the financial statements</w:t>
      </w:r>
      <w:r w:rsidR="00216D2B" w:rsidRPr="00F636EF">
        <w:rPr>
          <w:rFonts w:ascii="Arial" w:hAnsi="Arial" w:cs="Arial"/>
          <w:sz w:val="22"/>
          <w:szCs w:val="22"/>
        </w:rPr>
        <w:t xml:space="preserve">. </w:t>
      </w:r>
      <w:r w:rsidR="00801E38" w:rsidRPr="00F636EF">
        <w:rPr>
          <w:rFonts w:ascii="Arial" w:hAnsi="Arial" w:cs="Arial"/>
          <w:sz w:val="22"/>
          <w:szCs w:val="22"/>
        </w:rPr>
        <w:t xml:space="preserve">I </w:t>
      </w:r>
      <w:r w:rsidR="000F5EA2" w:rsidRPr="00F636EF">
        <w:rPr>
          <w:rFonts w:ascii="Arial" w:hAnsi="Arial" w:cs="Arial"/>
          <w:sz w:val="22"/>
          <w:szCs w:val="22"/>
        </w:rPr>
        <w:t xml:space="preserve">therefore </w:t>
      </w:r>
      <w:r w:rsidR="00801E38" w:rsidRPr="00F636EF">
        <w:rPr>
          <w:rFonts w:ascii="Arial" w:hAnsi="Arial" w:cs="Arial"/>
          <w:sz w:val="22"/>
          <w:szCs w:val="22"/>
        </w:rPr>
        <w:t xml:space="preserve">focused on the management's decision-making process regarding the impairment of </w:t>
      </w:r>
      <w:r w:rsidR="0096563C" w:rsidRPr="00F636EF">
        <w:rPr>
          <w:rFonts w:ascii="Arial" w:hAnsi="Arial" w:cs="Arial"/>
          <w:sz w:val="22"/>
          <w:szCs w:val="22"/>
        </w:rPr>
        <w:t>assets related to service concession agreements</w:t>
      </w:r>
      <w:r w:rsidR="00DF3F5F" w:rsidRPr="00F636EF">
        <w:rPr>
          <w:rFonts w:ascii="Arial" w:hAnsi="Arial" w:cs="Arial"/>
          <w:sz w:val="22"/>
          <w:szCs w:val="22"/>
        </w:rPr>
        <w:t xml:space="preserve"> </w:t>
      </w:r>
      <w:r w:rsidR="00801E38" w:rsidRPr="00F636EF">
        <w:rPr>
          <w:rFonts w:ascii="Arial" w:hAnsi="Arial" w:cs="Arial"/>
          <w:sz w:val="22"/>
          <w:szCs w:val="22"/>
        </w:rPr>
        <w:t xml:space="preserve">because it requires the management to exercise a high degree of judgment in </w:t>
      </w:r>
      <w:r w:rsidR="00413D8A" w:rsidRPr="00F636EF">
        <w:rPr>
          <w:rFonts w:ascii="Arial" w:hAnsi="Arial" w:cs="Arial"/>
          <w:sz w:val="22"/>
          <w:szCs w:val="22"/>
        </w:rPr>
        <w:t xml:space="preserve">identifying </w:t>
      </w:r>
      <w:r w:rsidR="00801E38" w:rsidRPr="00F636EF">
        <w:rPr>
          <w:rFonts w:ascii="Arial" w:hAnsi="Arial" w:cs="Arial"/>
          <w:sz w:val="22"/>
          <w:szCs w:val="22"/>
        </w:rPr>
        <w:t>impairment indicators</w:t>
      </w:r>
      <w:r w:rsidR="0053770C" w:rsidRPr="00F636EF">
        <w:rPr>
          <w:rFonts w:ascii="Arial" w:hAnsi="Arial" w:cs="Arial"/>
          <w:sz w:val="22"/>
          <w:szCs w:val="22"/>
        </w:rPr>
        <w:t xml:space="preserve"> and </w:t>
      </w:r>
      <w:r w:rsidR="0076484D" w:rsidRPr="00F636EF">
        <w:rPr>
          <w:rFonts w:ascii="Arial" w:hAnsi="Arial" w:cs="Arial"/>
          <w:sz w:val="22"/>
          <w:szCs w:val="22"/>
        </w:rPr>
        <w:t xml:space="preserve">determining the appropriate allowance for </w:t>
      </w:r>
      <w:r w:rsidR="00D644C6" w:rsidRPr="00F636EF">
        <w:rPr>
          <w:rFonts w:ascii="Arial" w:hAnsi="Arial" w:cs="Arial"/>
          <w:sz w:val="22"/>
          <w:szCs w:val="22"/>
        </w:rPr>
        <w:t>impairment of those assets</w:t>
      </w:r>
      <w:r w:rsidR="00801E38" w:rsidRPr="00F636EF">
        <w:rPr>
          <w:rFonts w:ascii="Arial" w:hAnsi="Arial" w:cs="Arial"/>
          <w:sz w:val="22"/>
          <w:szCs w:val="22"/>
        </w:rPr>
        <w:t xml:space="preserve">. Consequently, the assessment of such impairment directly </w:t>
      </w:r>
      <w:r w:rsidR="00192A60" w:rsidRPr="00F636EF">
        <w:rPr>
          <w:rFonts w:ascii="Arial" w:hAnsi="Arial" w:cs="Arial"/>
          <w:sz w:val="22"/>
          <w:szCs w:val="22"/>
        </w:rPr>
        <w:t>affect</w:t>
      </w:r>
      <w:r w:rsidR="00801E38" w:rsidRPr="00F636EF">
        <w:rPr>
          <w:rFonts w:ascii="Arial" w:hAnsi="Arial" w:cs="Arial"/>
          <w:sz w:val="22"/>
          <w:szCs w:val="22"/>
        </w:rPr>
        <w:t xml:space="preserve">s the balance of </w:t>
      </w:r>
      <w:r w:rsidR="00B80360" w:rsidRPr="00F636EF">
        <w:rPr>
          <w:rFonts w:ascii="Arial" w:hAnsi="Arial" w:cs="Arial"/>
          <w:sz w:val="22"/>
          <w:szCs w:val="22"/>
        </w:rPr>
        <w:t xml:space="preserve">assets related to service concession agreements </w:t>
      </w:r>
      <w:r w:rsidR="00801E38" w:rsidRPr="00F636EF">
        <w:rPr>
          <w:rFonts w:ascii="Arial" w:hAnsi="Arial" w:cs="Arial"/>
          <w:sz w:val="22"/>
          <w:szCs w:val="22"/>
        </w:rPr>
        <w:t>presented at the end of the reporting period.</w:t>
      </w:r>
    </w:p>
    <w:p w14:paraId="2D8985E7" w14:textId="7CFA4051" w:rsidR="002903B7" w:rsidRDefault="00717B86" w:rsidP="002903B7">
      <w:pPr>
        <w:pStyle w:val="ps-000-normal"/>
        <w:spacing w:before="120" w:line="380" w:lineRule="exact"/>
        <w:rPr>
          <w:rFonts w:ascii="Arial" w:hAnsi="Arial" w:cs="Arial"/>
          <w:color w:val="auto"/>
          <w:sz w:val="22"/>
          <w:szCs w:val="22"/>
        </w:rPr>
      </w:pPr>
      <w:r w:rsidRPr="00F636EF">
        <w:rPr>
          <w:rFonts w:ascii="Arial" w:hAnsi="Arial" w:cs="Arial"/>
          <w:color w:val="auto"/>
          <w:sz w:val="22"/>
          <w:szCs w:val="22"/>
        </w:rPr>
        <w:t>I assessed the management’s identification of cash-generating units and selection of a financial model, by gaining an understanding of management’s decision-making process and evaluating whether the decisions were consistent with assets utiliz</w:t>
      </w:r>
      <w:r w:rsidR="009D5437" w:rsidRPr="00F636EF">
        <w:rPr>
          <w:rFonts w:ascii="Arial" w:hAnsi="Arial" w:cs="Arial"/>
          <w:color w:val="auto"/>
          <w:sz w:val="22"/>
          <w:szCs w:val="22"/>
        </w:rPr>
        <w:t>ation</w:t>
      </w:r>
      <w:r w:rsidRPr="00F636EF">
        <w:rPr>
          <w:rFonts w:ascii="Arial" w:hAnsi="Arial" w:cs="Arial"/>
          <w:color w:val="auto"/>
          <w:sz w:val="22"/>
          <w:szCs w:val="22"/>
        </w:rPr>
        <w:t xml:space="preserve">. </w:t>
      </w:r>
      <w:r w:rsidR="00431F77" w:rsidRPr="00F636EF">
        <w:rPr>
          <w:rFonts w:ascii="Arial" w:hAnsi="Arial" w:cs="Arial"/>
          <w:color w:val="auto"/>
          <w:sz w:val="22"/>
          <w:szCs w:val="22"/>
        </w:rPr>
        <w:t>Additionally, I assessed the assumptions used in preparing the plans and cash flows projections of the subsidiar</w:t>
      </w:r>
      <w:r w:rsidR="00CA0A4F" w:rsidRPr="00F636EF">
        <w:rPr>
          <w:rFonts w:ascii="Arial" w:hAnsi="Arial" w:cs="Arial"/>
          <w:color w:val="auto"/>
          <w:sz w:val="22"/>
          <w:szCs w:val="22"/>
        </w:rPr>
        <w:t>ies</w:t>
      </w:r>
      <w:r w:rsidR="00431F77" w:rsidRPr="00F636EF">
        <w:rPr>
          <w:rFonts w:ascii="Arial" w:hAnsi="Arial" w:cs="Arial"/>
          <w:color w:val="auto"/>
          <w:sz w:val="22"/>
          <w:szCs w:val="22"/>
        </w:rPr>
        <w:t>' elevated train projects by understanding the process that led to those figures, comparing those assumptions with external and internal sources of the subsidiar</w:t>
      </w:r>
      <w:r w:rsidR="008452F7" w:rsidRPr="00F636EF">
        <w:rPr>
          <w:rFonts w:ascii="Arial" w:hAnsi="Arial" w:cs="Arial"/>
          <w:color w:val="auto"/>
          <w:sz w:val="22"/>
          <w:szCs w:val="22"/>
        </w:rPr>
        <w:t>ies</w:t>
      </w:r>
      <w:r w:rsidR="00431F77" w:rsidRPr="00F636EF">
        <w:rPr>
          <w:rFonts w:ascii="Arial" w:hAnsi="Arial" w:cs="Arial"/>
          <w:color w:val="auto"/>
          <w:sz w:val="22"/>
          <w:szCs w:val="22"/>
        </w:rPr>
        <w:t>, and comparing historical cash flow estimates with actual performance to evaluate management's judgment in estimating cash flow projections. I also gained understanding and assessed the discount rate used by management by inquiring with the responsible executives and comparing with other sources and comparable companies.</w:t>
      </w:r>
      <w:r w:rsidR="00CB3FF2" w:rsidRPr="00F636EF">
        <w:rPr>
          <w:rFonts w:ascii="Arial" w:hAnsi="Arial" w:cs="Arial"/>
          <w:color w:val="auto"/>
          <w:sz w:val="22"/>
          <w:szCs w:val="22"/>
        </w:rPr>
        <w:t xml:space="preserve"> </w:t>
      </w:r>
      <w:r w:rsidR="00957ADD" w:rsidRPr="00F636EF">
        <w:rPr>
          <w:rFonts w:ascii="Arial" w:hAnsi="Arial" w:cs="Arial"/>
          <w:color w:val="auto"/>
          <w:sz w:val="22"/>
          <w:szCs w:val="22"/>
        </w:rPr>
        <w:t xml:space="preserve">Moreover, </w:t>
      </w:r>
      <w:r w:rsidR="001C7EB8" w:rsidRPr="00F636EF">
        <w:rPr>
          <w:rFonts w:ascii="Arial" w:hAnsi="Arial" w:cs="Arial"/>
          <w:color w:val="auto"/>
          <w:sz w:val="22"/>
          <w:szCs w:val="22"/>
        </w:rPr>
        <w:t xml:space="preserve">I reviewed the disclosures made with respect to the impairment assessment for </w:t>
      </w:r>
      <w:r w:rsidR="001331CF" w:rsidRPr="00F636EF">
        <w:rPr>
          <w:rFonts w:ascii="Arial" w:hAnsi="Arial" w:cs="Arial"/>
          <w:color w:val="auto"/>
          <w:sz w:val="22"/>
          <w:szCs w:val="22"/>
        </w:rPr>
        <w:t>the elevated train project costs</w:t>
      </w:r>
      <w:r w:rsidR="001C7EB8" w:rsidRPr="00F636EF">
        <w:rPr>
          <w:rFonts w:ascii="Arial" w:hAnsi="Arial" w:cs="Arial"/>
          <w:color w:val="auto"/>
          <w:sz w:val="22"/>
          <w:szCs w:val="22"/>
        </w:rPr>
        <w:t>, as well as sensitivity of the impact of changes in key assumptions to the cash flow projections.</w:t>
      </w:r>
    </w:p>
    <w:p w14:paraId="028DB86F" w14:textId="77777777" w:rsidR="002903B7" w:rsidRDefault="002903B7">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5D5FE5A4" w14:textId="77777777" w:rsidR="002B1A7E" w:rsidRPr="00F636EF" w:rsidRDefault="002B1A7E" w:rsidP="002903B7">
      <w:pPr>
        <w:overflowPunct/>
        <w:autoSpaceDE/>
        <w:autoSpaceDN/>
        <w:adjustRightInd/>
        <w:spacing w:before="240" w:after="120" w:line="380" w:lineRule="exact"/>
        <w:textAlignment w:val="auto"/>
        <w:rPr>
          <w:rFonts w:ascii="Arial" w:hAnsi="Arial" w:cs="Arial"/>
          <w:b/>
          <w:bCs/>
          <w:i/>
          <w:iCs/>
          <w:spacing w:val="-4"/>
          <w:sz w:val="22"/>
          <w:szCs w:val="22"/>
        </w:rPr>
      </w:pPr>
      <w:r w:rsidRPr="00F636EF">
        <w:rPr>
          <w:rFonts w:ascii="Arial" w:hAnsi="Arial" w:cs="Arial"/>
          <w:b/>
          <w:bCs/>
          <w:i/>
          <w:iCs/>
          <w:spacing w:val="-4"/>
          <w:sz w:val="22"/>
          <w:szCs w:val="22"/>
        </w:rPr>
        <w:lastRenderedPageBreak/>
        <w:t>I</w:t>
      </w:r>
      <w:r w:rsidR="00382681" w:rsidRPr="00F636EF">
        <w:rPr>
          <w:rFonts w:ascii="Arial" w:hAnsi="Arial" w:cs="Arial"/>
          <w:b/>
          <w:bCs/>
          <w:i/>
          <w:iCs/>
          <w:spacing w:val="-4"/>
          <w:sz w:val="22"/>
          <w:szCs w:val="22"/>
        </w:rPr>
        <w:t>mpairment of i</w:t>
      </w:r>
      <w:r w:rsidRPr="00F636EF">
        <w:rPr>
          <w:rFonts w:ascii="Arial" w:hAnsi="Arial" w:cs="Arial"/>
          <w:b/>
          <w:bCs/>
          <w:i/>
          <w:iCs/>
          <w:spacing w:val="-4"/>
          <w:sz w:val="22"/>
          <w:szCs w:val="22"/>
        </w:rPr>
        <w:t>nvestments in subsidiaries, joint ventures and associates</w:t>
      </w:r>
    </w:p>
    <w:p w14:paraId="79F855E5" w14:textId="58E92015" w:rsidR="000F2238" w:rsidRPr="00F636EF" w:rsidRDefault="002B1A7E" w:rsidP="002903B7">
      <w:pPr>
        <w:spacing w:before="120" w:after="120" w:line="380" w:lineRule="exact"/>
        <w:rPr>
          <w:rFonts w:ascii="Arial" w:hAnsi="Arial" w:cs="Arial"/>
          <w:sz w:val="22"/>
          <w:szCs w:val="22"/>
        </w:rPr>
      </w:pPr>
      <w:r w:rsidRPr="00F636EF">
        <w:rPr>
          <w:rFonts w:ascii="Arial" w:hAnsi="Arial" w:cs="Arial"/>
          <w:sz w:val="22"/>
          <w:szCs w:val="22"/>
        </w:rPr>
        <w:t xml:space="preserve">As </w:t>
      </w:r>
      <w:r w:rsidR="009A1A9C" w:rsidRPr="00F636EF">
        <w:rPr>
          <w:rFonts w:ascii="Arial" w:hAnsi="Arial" w:cs="Arial"/>
          <w:sz w:val="22"/>
          <w:szCs w:val="22"/>
        </w:rPr>
        <w:t>of</w:t>
      </w:r>
      <w:r w:rsidRPr="00F636EF">
        <w:rPr>
          <w:rFonts w:ascii="Arial" w:hAnsi="Arial" w:cs="Arial"/>
          <w:sz w:val="22"/>
          <w:szCs w:val="22"/>
        </w:rPr>
        <w:t xml:space="preserve"> 31 March </w:t>
      </w:r>
      <w:r w:rsidR="00862AFD" w:rsidRPr="00F636EF">
        <w:rPr>
          <w:rFonts w:ascii="Arial" w:hAnsi="Arial" w:cs="Arial"/>
          <w:sz w:val="22"/>
          <w:szCs w:val="22"/>
        </w:rPr>
        <w:t>202</w:t>
      </w:r>
      <w:r w:rsidR="0065272C" w:rsidRPr="00F636EF">
        <w:rPr>
          <w:rFonts w:ascii="Arial" w:hAnsi="Arial" w:cs="Arial"/>
          <w:sz w:val="22"/>
          <w:szCs w:val="22"/>
        </w:rPr>
        <w:t>6</w:t>
      </w:r>
      <w:r w:rsidRPr="00F636EF">
        <w:rPr>
          <w:rFonts w:ascii="Arial" w:hAnsi="Arial" w:cs="Arial"/>
          <w:sz w:val="22"/>
          <w:szCs w:val="22"/>
        </w:rPr>
        <w:t>, the Group ha</w:t>
      </w:r>
      <w:r w:rsidR="00422002" w:rsidRPr="00F636EF">
        <w:rPr>
          <w:rFonts w:ascii="Arial" w:hAnsi="Arial" w:cs="Arial"/>
          <w:sz w:val="22"/>
          <w:szCs w:val="22"/>
        </w:rPr>
        <w:t xml:space="preserve">s a carrying amount of </w:t>
      </w:r>
      <w:r w:rsidRPr="00F636EF">
        <w:rPr>
          <w:rFonts w:ascii="Arial" w:hAnsi="Arial" w:cs="Arial"/>
          <w:sz w:val="22"/>
          <w:szCs w:val="22"/>
        </w:rPr>
        <w:t xml:space="preserve">investments in subsidiaries, </w:t>
      </w:r>
      <w:r w:rsidR="002903B7">
        <w:rPr>
          <w:rFonts w:ascii="Arial" w:hAnsi="Arial" w:cs="Arial"/>
          <w:sz w:val="22"/>
          <w:szCs w:val="22"/>
        </w:rPr>
        <w:t xml:space="preserve">                                            </w:t>
      </w:r>
      <w:r w:rsidRPr="00F636EF">
        <w:rPr>
          <w:rFonts w:ascii="Arial" w:hAnsi="Arial" w:cs="Arial"/>
          <w:sz w:val="22"/>
          <w:szCs w:val="22"/>
        </w:rPr>
        <w:t xml:space="preserve">joint ventures and associates </w:t>
      </w:r>
      <w:r w:rsidR="00440BC3" w:rsidRPr="00F636EF">
        <w:rPr>
          <w:rFonts w:ascii="Arial" w:hAnsi="Arial" w:cs="Arial"/>
          <w:sz w:val="22"/>
          <w:szCs w:val="22"/>
        </w:rPr>
        <w:t>which are significant to the financial statements</w:t>
      </w:r>
      <w:r w:rsidRPr="00F636EF">
        <w:rPr>
          <w:rFonts w:ascii="Arial" w:hAnsi="Arial" w:cs="Arial"/>
          <w:sz w:val="22"/>
          <w:szCs w:val="22"/>
        </w:rPr>
        <w:t xml:space="preserve"> as discussed in </w:t>
      </w:r>
      <w:r w:rsidR="002903B7">
        <w:rPr>
          <w:rFonts w:ascii="Arial" w:hAnsi="Arial" w:cs="Arial"/>
          <w:sz w:val="22"/>
          <w:szCs w:val="22"/>
        </w:rPr>
        <w:t xml:space="preserve">                                            </w:t>
      </w:r>
      <w:r w:rsidRPr="00F636EF">
        <w:rPr>
          <w:rFonts w:ascii="Arial" w:hAnsi="Arial" w:cs="Arial"/>
          <w:sz w:val="22"/>
          <w:szCs w:val="22"/>
        </w:rPr>
        <w:t xml:space="preserve">Notes </w:t>
      </w:r>
      <w:r w:rsidR="003A2CEB" w:rsidRPr="00F636EF">
        <w:rPr>
          <w:rFonts w:ascii="Arial" w:hAnsi="Arial" w:cs="Arial"/>
          <w:sz w:val="22"/>
          <w:szCs w:val="22"/>
        </w:rPr>
        <w:t>1</w:t>
      </w:r>
      <w:r w:rsidR="00422002" w:rsidRPr="00F636EF">
        <w:rPr>
          <w:rFonts w:ascii="Arial" w:hAnsi="Arial" w:cs="Arial"/>
          <w:sz w:val="22"/>
          <w:szCs w:val="22"/>
        </w:rPr>
        <w:t>6</w:t>
      </w:r>
      <w:r w:rsidR="003A2CEB" w:rsidRPr="00F636EF">
        <w:rPr>
          <w:rFonts w:ascii="Arial" w:hAnsi="Arial" w:cs="Arial"/>
          <w:sz w:val="22"/>
          <w:szCs w:val="22"/>
        </w:rPr>
        <w:t>,</w:t>
      </w:r>
      <w:r w:rsidR="00D223E7" w:rsidRPr="00F636EF">
        <w:rPr>
          <w:rFonts w:ascii="Arial" w:hAnsi="Arial" w:cs="Arial"/>
          <w:sz w:val="22"/>
          <w:szCs w:val="22"/>
        </w:rPr>
        <w:t xml:space="preserve"> Note </w:t>
      </w:r>
      <w:r w:rsidR="003A2CEB" w:rsidRPr="00F636EF">
        <w:rPr>
          <w:rFonts w:ascii="Arial" w:hAnsi="Arial" w:cs="Arial"/>
          <w:sz w:val="22"/>
          <w:szCs w:val="22"/>
        </w:rPr>
        <w:t>1</w:t>
      </w:r>
      <w:r w:rsidR="00422002" w:rsidRPr="00F636EF">
        <w:rPr>
          <w:rFonts w:ascii="Arial" w:hAnsi="Arial" w:cs="Arial"/>
          <w:sz w:val="22"/>
          <w:szCs w:val="22"/>
        </w:rPr>
        <w:t>7</w:t>
      </w:r>
      <w:r w:rsidRPr="00F636EF">
        <w:rPr>
          <w:rFonts w:ascii="Arial" w:hAnsi="Arial" w:cs="Arial"/>
          <w:sz w:val="22"/>
          <w:szCs w:val="22"/>
        </w:rPr>
        <w:t xml:space="preserve"> and </w:t>
      </w:r>
      <w:r w:rsidR="00D526E6" w:rsidRPr="00F636EF">
        <w:rPr>
          <w:rFonts w:ascii="Arial" w:hAnsi="Arial" w:cs="Arial"/>
          <w:sz w:val="22"/>
          <w:szCs w:val="22"/>
        </w:rPr>
        <w:t xml:space="preserve">Note </w:t>
      </w:r>
      <w:r w:rsidRPr="00F636EF">
        <w:rPr>
          <w:rFonts w:ascii="Arial" w:hAnsi="Arial" w:cs="Arial"/>
          <w:sz w:val="22"/>
          <w:szCs w:val="22"/>
        </w:rPr>
        <w:t>1</w:t>
      </w:r>
      <w:r w:rsidR="00422002" w:rsidRPr="00F636EF">
        <w:rPr>
          <w:rFonts w:ascii="Arial" w:hAnsi="Arial" w:cs="Arial"/>
          <w:sz w:val="22"/>
          <w:szCs w:val="22"/>
        </w:rPr>
        <w:t>8</w:t>
      </w:r>
      <w:r w:rsidRPr="00F636EF">
        <w:rPr>
          <w:rFonts w:ascii="Arial" w:hAnsi="Arial" w:cs="Arial"/>
          <w:sz w:val="22"/>
          <w:szCs w:val="22"/>
        </w:rPr>
        <w:t xml:space="preserve"> to the financial statements.</w:t>
      </w:r>
      <w:r w:rsidR="000F2238" w:rsidRPr="00F636EF">
        <w:rPr>
          <w:rFonts w:ascii="Arial" w:hAnsi="Arial" w:cs="Arial"/>
          <w:sz w:val="22"/>
          <w:szCs w:val="22"/>
        </w:rPr>
        <w:t xml:space="preserve"> I focused on the management's decision-making process regarding the impairment of </w:t>
      </w:r>
      <w:r w:rsidR="002D4168" w:rsidRPr="00F636EF">
        <w:rPr>
          <w:rFonts w:ascii="Arial" w:hAnsi="Arial" w:cs="Arial"/>
          <w:sz w:val="22"/>
          <w:szCs w:val="22"/>
        </w:rPr>
        <w:t xml:space="preserve">the </w:t>
      </w:r>
      <w:r w:rsidR="000F2238" w:rsidRPr="00F636EF">
        <w:rPr>
          <w:rFonts w:ascii="Arial" w:hAnsi="Arial" w:cs="Arial"/>
          <w:sz w:val="22"/>
          <w:szCs w:val="22"/>
        </w:rPr>
        <w:t>investments in subsidiaries</w:t>
      </w:r>
      <w:r w:rsidR="00FB5AE9" w:rsidRPr="00F636EF">
        <w:rPr>
          <w:rFonts w:ascii="Arial" w:hAnsi="Arial" w:cs="Arial"/>
          <w:sz w:val="22"/>
          <w:szCs w:val="22"/>
        </w:rPr>
        <w:t>, joint ventures and associates</w:t>
      </w:r>
      <w:r w:rsidR="000F2238" w:rsidRPr="00F636EF">
        <w:rPr>
          <w:rFonts w:ascii="Arial" w:hAnsi="Arial" w:cs="Arial"/>
          <w:sz w:val="22"/>
          <w:szCs w:val="22"/>
        </w:rPr>
        <w:t xml:space="preserve"> because it requires the management to exercise a high degree of judgment in assessing impairment indicators, identifying cash generating units, estimating future cash flows from these assets, and determining an appropriate discount rate and long-term growth rate. Consequently, the assessment of such impairment directly </w:t>
      </w:r>
      <w:r w:rsidR="0029043B" w:rsidRPr="00F636EF">
        <w:rPr>
          <w:rFonts w:ascii="Arial" w:hAnsi="Arial" w:cs="Arial"/>
          <w:sz w:val="22"/>
          <w:szCs w:val="22"/>
        </w:rPr>
        <w:t>impact</w:t>
      </w:r>
      <w:r w:rsidR="003103DC" w:rsidRPr="00F636EF">
        <w:rPr>
          <w:rFonts w:ascii="Arial" w:hAnsi="Arial" w:cs="Arial"/>
          <w:sz w:val="22"/>
          <w:szCs w:val="22"/>
        </w:rPr>
        <w:t>s</w:t>
      </w:r>
      <w:r w:rsidR="000F2238" w:rsidRPr="00F636EF">
        <w:rPr>
          <w:rFonts w:ascii="Arial" w:hAnsi="Arial" w:cs="Arial"/>
          <w:sz w:val="22"/>
          <w:szCs w:val="22"/>
        </w:rPr>
        <w:t xml:space="preserve"> the balance of investments in subsidiaries</w:t>
      </w:r>
      <w:r w:rsidR="003103DC" w:rsidRPr="00F636EF">
        <w:rPr>
          <w:rFonts w:ascii="Arial" w:hAnsi="Arial" w:cs="Arial"/>
          <w:sz w:val="22"/>
          <w:szCs w:val="22"/>
        </w:rPr>
        <w:t xml:space="preserve">, joint ventures and associates </w:t>
      </w:r>
      <w:r w:rsidR="000F2238" w:rsidRPr="00F636EF">
        <w:rPr>
          <w:rFonts w:ascii="Arial" w:hAnsi="Arial" w:cs="Arial"/>
          <w:sz w:val="22"/>
          <w:szCs w:val="22"/>
        </w:rPr>
        <w:t>presented at the end of the reporting period.</w:t>
      </w:r>
    </w:p>
    <w:p w14:paraId="1E5ACD2F" w14:textId="1EE41A56" w:rsidR="00AC5BAA" w:rsidRPr="00F636EF" w:rsidRDefault="00AC5BAA" w:rsidP="002903B7">
      <w:pPr>
        <w:pStyle w:val="ps-000-normal"/>
        <w:spacing w:before="120" w:line="380" w:lineRule="exact"/>
        <w:rPr>
          <w:rFonts w:ascii="Arial" w:hAnsi="Arial" w:cs="Arial"/>
          <w:color w:val="auto"/>
          <w:sz w:val="22"/>
          <w:szCs w:val="22"/>
        </w:rPr>
      </w:pPr>
      <w:r w:rsidRPr="00F636EF">
        <w:rPr>
          <w:rFonts w:ascii="Arial" w:hAnsi="Arial" w:cs="Arial"/>
          <w:color w:val="auto"/>
          <w:sz w:val="22"/>
          <w:szCs w:val="22"/>
        </w:rPr>
        <w:t>I assessed the management’s decision-making process regarding the impairment of investments in subsidiaries</w:t>
      </w:r>
      <w:r w:rsidR="00106274" w:rsidRPr="00F636EF">
        <w:rPr>
          <w:rFonts w:ascii="Arial" w:hAnsi="Arial" w:cs="Arial"/>
          <w:color w:val="auto"/>
          <w:sz w:val="22"/>
          <w:szCs w:val="22"/>
        </w:rPr>
        <w:t>, joint ventures and associates</w:t>
      </w:r>
      <w:r w:rsidRPr="00F636EF">
        <w:rPr>
          <w:rFonts w:ascii="Arial" w:hAnsi="Arial" w:cs="Arial"/>
          <w:color w:val="auto"/>
          <w:sz w:val="22"/>
          <w:szCs w:val="22"/>
        </w:rPr>
        <w:t xml:space="preserve"> by making inquiries </w:t>
      </w:r>
      <w:r w:rsidR="00233CDF" w:rsidRPr="00F636EF">
        <w:rPr>
          <w:rFonts w:ascii="Arial" w:hAnsi="Arial" w:cs="Arial"/>
          <w:color w:val="auto"/>
          <w:sz w:val="22"/>
          <w:szCs w:val="22"/>
        </w:rPr>
        <w:t>with</w:t>
      </w:r>
      <w:r w:rsidRPr="00F636EF">
        <w:rPr>
          <w:rFonts w:ascii="Arial" w:hAnsi="Arial" w:cs="Arial"/>
          <w:color w:val="auto"/>
          <w:sz w:val="22"/>
          <w:szCs w:val="22"/>
        </w:rPr>
        <w:t xml:space="preserve"> responsible executives, gaining an understanding of assessing impairment indicators, considering the identification of cash generating units and the financial models selected by the management, and testing </w:t>
      </w:r>
      <w:r w:rsidR="00825B51" w:rsidRPr="00F636EF">
        <w:rPr>
          <w:rFonts w:ascii="Arial" w:hAnsi="Arial" w:cs="Arial"/>
          <w:color w:val="auto"/>
          <w:sz w:val="22"/>
          <w:szCs w:val="22"/>
        </w:rPr>
        <w:t>key</w:t>
      </w:r>
      <w:r w:rsidRPr="00F636EF">
        <w:rPr>
          <w:rFonts w:ascii="Arial" w:hAnsi="Arial" w:cs="Arial"/>
          <w:color w:val="auto"/>
          <w:sz w:val="22"/>
          <w:szCs w:val="22"/>
        </w:rPr>
        <w:t xml:space="preserve"> assumptions applied by the management in preparing estimates of the cash flows expected to be realised from the assets. I </w:t>
      </w:r>
      <w:r w:rsidR="002F7C98" w:rsidRPr="00F636EF">
        <w:rPr>
          <w:rFonts w:ascii="Arial" w:hAnsi="Arial" w:cs="Arial"/>
          <w:color w:val="auto"/>
          <w:sz w:val="22"/>
          <w:szCs w:val="22"/>
        </w:rPr>
        <w:t xml:space="preserve">also </w:t>
      </w:r>
      <w:r w:rsidRPr="00F636EF">
        <w:rPr>
          <w:rFonts w:ascii="Arial" w:hAnsi="Arial" w:cs="Arial"/>
          <w:color w:val="auto"/>
          <w:sz w:val="22"/>
          <w:szCs w:val="22"/>
        </w:rPr>
        <w:t>compared past cash flow projections with actual operating results to evaluate the exercise of the management judgment in estimating the cash flow projections. Additionally,</w:t>
      </w:r>
      <w:r w:rsidR="000D4527" w:rsidRPr="00F636EF">
        <w:rPr>
          <w:rFonts w:ascii="Arial" w:hAnsi="Arial" w:cs="Arial"/>
          <w:color w:val="auto"/>
          <w:sz w:val="22"/>
          <w:szCs w:val="22"/>
        </w:rPr>
        <w:t xml:space="preserve"> </w:t>
      </w:r>
      <w:r w:rsidRPr="00F636EF">
        <w:rPr>
          <w:rFonts w:ascii="Arial" w:hAnsi="Arial" w:cs="Arial"/>
          <w:color w:val="auto"/>
          <w:sz w:val="22"/>
          <w:szCs w:val="22"/>
        </w:rPr>
        <w:t xml:space="preserve">I evaluated the discount rate applied by the management based on the analysis of the weighted average cost of capital of the entity’s funds and the long-term growth rate by </w:t>
      </w:r>
      <w:r w:rsidR="000D4527" w:rsidRPr="00F636EF">
        <w:rPr>
          <w:rFonts w:ascii="Arial" w:hAnsi="Arial" w:cs="Arial"/>
          <w:color w:val="auto"/>
          <w:sz w:val="22"/>
          <w:szCs w:val="22"/>
        </w:rPr>
        <w:t>comparing</w:t>
      </w:r>
      <w:r w:rsidRPr="00F636EF">
        <w:rPr>
          <w:rFonts w:ascii="Arial" w:hAnsi="Arial" w:cs="Arial"/>
          <w:color w:val="auto"/>
          <w:sz w:val="22"/>
          <w:szCs w:val="22"/>
        </w:rPr>
        <w:t xml:space="preserve"> those assumptions with the information obtained from both internal and external sources and tested the calculation of the recoverable amount of the assets using the selected financial model. Moreover, I reviewed the disclosures made regarding the impairment assessment for</w:t>
      </w:r>
      <w:r w:rsidR="000D4527" w:rsidRPr="00F636EF">
        <w:rPr>
          <w:rFonts w:ascii="Arial" w:hAnsi="Arial" w:cs="Arial"/>
          <w:color w:val="auto"/>
          <w:sz w:val="22"/>
          <w:szCs w:val="22"/>
        </w:rPr>
        <w:t xml:space="preserve"> those</w:t>
      </w:r>
      <w:r w:rsidRPr="00F636EF">
        <w:rPr>
          <w:rFonts w:ascii="Arial" w:hAnsi="Arial" w:cs="Arial"/>
          <w:color w:val="auto"/>
          <w:sz w:val="22"/>
          <w:szCs w:val="22"/>
        </w:rPr>
        <w:t xml:space="preserve"> investments.</w:t>
      </w:r>
    </w:p>
    <w:p w14:paraId="1DE3FAA9" w14:textId="60848FC8" w:rsidR="002B1A7E" w:rsidRPr="00F636EF" w:rsidRDefault="00F11887" w:rsidP="002903B7">
      <w:pPr>
        <w:overflowPunct/>
        <w:autoSpaceDE/>
        <w:autoSpaceDN/>
        <w:adjustRightInd/>
        <w:spacing w:before="240" w:after="120" w:line="380" w:lineRule="exact"/>
        <w:textAlignment w:val="auto"/>
        <w:rPr>
          <w:rFonts w:ascii="Arial" w:hAnsi="Arial" w:cs="Arial"/>
          <w:b/>
          <w:bCs/>
          <w:i/>
          <w:iCs/>
          <w:spacing w:val="-4"/>
          <w:sz w:val="22"/>
          <w:szCs w:val="22"/>
        </w:rPr>
      </w:pPr>
      <w:r w:rsidRPr="00F636EF">
        <w:rPr>
          <w:rFonts w:ascii="Arial" w:hAnsi="Arial" w:cs="Arial"/>
          <w:b/>
          <w:bCs/>
          <w:i/>
          <w:iCs/>
          <w:spacing w:val="-4"/>
          <w:sz w:val="22"/>
          <w:szCs w:val="22"/>
        </w:rPr>
        <w:t>Classification and measurement</w:t>
      </w:r>
      <w:r w:rsidR="00382681" w:rsidRPr="00F636EF">
        <w:rPr>
          <w:rFonts w:ascii="Arial" w:hAnsi="Arial" w:cs="Arial"/>
          <w:b/>
          <w:bCs/>
          <w:i/>
          <w:iCs/>
          <w:spacing w:val="-4"/>
          <w:sz w:val="22"/>
          <w:szCs w:val="22"/>
        </w:rPr>
        <w:t xml:space="preserve"> of</w:t>
      </w:r>
      <w:r w:rsidRPr="00F636EF">
        <w:rPr>
          <w:rFonts w:ascii="Arial" w:hAnsi="Arial" w:cs="Arial"/>
          <w:b/>
          <w:bCs/>
          <w:i/>
          <w:iCs/>
          <w:spacing w:val="-4"/>
          <w:sz w:val="22"/>
          <w:szCs w:val="22"/>
        </w:rPr>
        <w:t xml:space="preserve"> f</w:t>
      </w:r>
      <w:r w:rsidR="002B1A7E" w:rsidRPr="00F636EF">
        <w:rPr>
          <w:rFonts w:ascii="Arial" w:hAnsi="Arial" w:cs="Arial"/>
          <w:b/>
          <w:bCs/>
          <w:i/>
          <w:iCs/>
          <w:spacing w:val="-4"/>
          <w:sz w:val="22"/>
          <w:szCs w:val="22"/>
        </w:rPr>
        <w:t>air value of financial instruments</w:t>
      </w:r>
    </w:p>
    <w:p w14:paraId="69C73C71" w14:textId="3342F5B0" w:rsidR="00A8170E" w:rsidRPr="00F636EF" w:rsidRDefault="002B1A7E" w:rsidP="002903B7">
      <w:pPr>
        <w:spacing w:before="120" w:after="120" w:line="380" w:lineRule="exact"/>
        <w:ind w:right="-43"/>
        <w:rPr>
          <w:rFonts w:ascii="Arial" w:hAnsi="Arial" w:cs="Arial"/>
          <w:sz w:val="22"/>
          <w:szCs w:val="22"/>
        </w:rPr>
      </w:pPr>
      <w:r w:rsidRPr="00F636EF">
        <w:rPr>
          <w:rFonts w:ascii="Arial" w:hAnsi="Arial" w:cs="Arial"/>
          <w:sz w:val="22"/>
          <w:szCs w:val="22"/>
        </w:rPr>
        <w:t xml:space="preserve">As </w:t>
      </w:r>
      <w:r w:rsidR="00A71287" w:rsidRPr="00F636EF">
        <w:rPr>
          <w:rFonts w:ascii="Arial" w:hAnsi="Arial" w:cs="Arial"/>
          <w:sz w:val="22"/>
          <w:szCs w:val="22"/>
        </w:rPr>
        <w:t>of</w:t>
      </w:r>
      <w:r w:rsidRPr="00F636EF">
        <w:rPr>
          <w:rFonts w:ascii="Arial" w:hAnsi="Arial" w:cs="Arial"/>
          <w:sz w:val="22"/>
          <w:szCs w:val="22"/>
        </w:rPr>
        <w:t xml:space="preserve"> 31 March </w:t>
      </w:r>
      <w:r w:rsidR="00862AFD" w:rsidRPr="00F636EF">
        <w:rPr>
          <w:rFonts w:ascii="Arial" w:hAnsi="Arial" w:cs="Arial"/>
          <w:sz w:val="22"/>
          <w:szCs w:val="22"/>
        </w:rPr>
        <w:t>202</w:t>
      </w:r>
      <w:r w:rsidR="00A71287" w:rsidRPr="00F636EF">
        <w:rPr>
          <w:rFonts w:ascii="Arial" w:hAnsi="Arial" w:cs="Arial"/>
          <w:sz w:val="22"/>
          <w:szCs w:val="22"/>
        </w:rPr>
        <w:t>6</w:t>
      </w:r>
      <w:r w:rsidRPr="00F636EF">
        <w:rPr>
          <w:rFonts w:ascii="Arial" w:hAnsi="Arial" w:cs="Arial"/>
          <w:sz w:val="22"/>
          <w:szCs w:val="22"/>
        </w:rPr>
        <w:t xml:space="preserve">, the Group has financial instruments which are classified and presented as </w:t>
      </w:r>
      <w:r w:rsidR="00A8170E" w:rsidRPr="00F636EF">
        <w:rPr>
          <w:rFonts w:ascii="Arial" w:hAnsi="Arial" w:cs="Arial"/>
          <w:sz w:val="22"/>
          <w:szCs w:val="22"/>
        </w:rPr>
        <w:t xml:space="preserve">                                         </w:t>
      </w:r>
      <w:r w:rsidRPr="00F636EF">
        <w:rPr>
          <w:rFonts w:ascii="Arial" w:hAnsi="Arial" w:cs="Arial"/>
          <w:sz w:val="22"/>
          <w:szCs w:val="22"/>
        </w:rPr>
        <w:t xml:space="preserve">a separate </w:t>
      </w:r>
      <w:r w:rsidR="006F7DBF" w:rsidRPr="00F636EF">
        <w:rPr>
          <w:rFonts w:ascii="Arial" w:hAnsi="Arial" w:cs="Browallia New"/>
          <w:sz w:val="22"/>
          <w:szCs w:val="28"/>
        </w:rPr>
        <w:t xml:space="preserve">line </w:t>
      </w:r>
      <w:r w:rsidRPr="00F636EF">
        <w:rPr>
          <w:rFonts w:ascii="Arial" w:hAnsi="Arial" w:cs="Arial"/>
          <w:sz w:val="22"/>
          <w:szCs w:val="22"/>
        </w:rPr>
        <w:t>item in the statement of financial position</w:t>
      </w:r>
      <w:r w:rsidR="00BC7D3C" w:rsidRPr="00F636EF">
        <w:rPr>
          <w:rFonts w:ascii="Arial" w:hAnsi="Arial" w:cs="Arial"/>
          <w:sz w:val="22"/>
          <w:szCs w:val="22"/>
        </w:rPr>
        <w:t xml:space="preserve">. These financial instruments are </w:t>
      </w:r>
      <w:r w:rsidRPr="00F636EF">
        <w:rPr>
          <w:rFonts w:ascii="Arial" w:hAnsi="Arial" w:cs="Arial"/>
          <w:sz w:val="22"/>
          <w:szCs w:val="22"/>
        </w:rPr>
        <w:t>significant to the financial statements as disclosed in Note 1</w:t>
      </w:r>
      <w:r w:rsidR="00A71287" w:rsidRPr="00F636EF">
        <w:rPr>
          <w:rFonts w:ascii="Arial" w:hAnsi="Arial" w:cs="Arial"/>
          <w:sz w:val="22"/>
          <w:szCs w:val="22"/>
        </w:rPr>
        <w:t>5</w:t>
      </w:r>
      <w:r w:rsidR="00A8170E" w:rsidRPr="00F636EF">
        <w:rPr>
          <w:rFonts w:ascii="Arial" w:hAnsi="Arial" w:cs="Arial"/>
          <w:sz w:val="22"/>
          <w:szCs w:val="22"/>
        </w:rPr>
        <w:t xml:space="preserve">, </w:t>
      </w:r>
      <w:r w:rsidR="00046408" w:rsidRPr="00F636EF">
        <w:rPr>
          <w:rFonts w:ascii="Arial" w:hAnsi="Arial" w:cs="Browallia New"/>
          <w:sz w:val="22"/>
          <w:szCs w:val="28"/>
        </w:rPr>
        <w:t xml:space="preserve">Note </w:t>
      </w:r>
      <w:r w:rsidR="009E4F89" w:rsidRPr="00F636EF">
        <w:rPr>
          <w:rFonts w:ascii="Arial" w:hAnsi="Arial" w:cs="Arial"/>
          <w:sz w:val="22"/>
          <w:szCs w:val="22"/>
        </w:rPr>
        <w:t>2</w:t>
      </w:r>
      <w:r w:rsidR="00A71287" w:rsidRPr="00F636EF">
        <w:rPr>
          <w:rFonts w:ascii="Arial" w:hAnsi="Arial" w:cs="Arial"/>
          <w:sz w:val="22"/>
          <w:szCs w:val="22"/>
        </w:rPr>
        <w:t>5</w:t>
      </w:r>
      <w:r w:rsidR="00A8170E" w:rsidRPr="00F636EF">
        <w:rPr>
          <w:rFonts w:ascii="Arial" w:hAnsi="Arial" w:cs="Arial"/>
          <w:sz w:val="22"/>
          <w:szCs w:val="22"/>
        </w:rPr>
        <w:t xml:space="preserve"> </w:t>
      </w:r>
      <w:r w:rsidRPr="00F636EF">
        <w:rPr>
          <w:rFonts w:ascii="Arial" w:hAnsi="Arial" w:cs="Arial"/>
          <w:sz w:val="22"/>
          <w:szCs w:val="22"/>
        </w:rPr>
        <w:t xml:space="preserve">and </w:t>
      </w:r>
      <w:r w:rsidR="00046408" w:rsidRPr="00F636EF">
        <w:rPr>
          <w:rFonts w:ascii="Arial" w:hAnsi="Arial" w:cs="Arial"/>
          <w:sz w:val="22"/>
          <w:szCs w:val="22"/>
        </w:rPr>
        <w:t xml:space="preserve">Note </w:t>
      </w:r>
      <w:r w:rsidR="009E4F89" w:rsidRPr="00F636EF">
        <w:rPr>
          <w:rFonts w:ascii="Arial" w:hAnsi="Arial" w:cs="Arial"/>
          <w:sz w:val="22"/>
          <w:szCs w:val="22"/>
        </w:rPr>
        <w:t>3</w:t>
      </w:r>
      <w:r w:rsidR="00A71287" w:rsidRPr="00F636EF">
        <w:rPr>
          <w:rFonts w:ascii="Arial" w:hAnsi="Arial" w:cs="Arial"/>
          <w:sz w:val="22"/>
          <w:szCs w:val="22"/>
        </w:rPr>
        <w:t>8</w:t>
      </w:r>
      <w:r w:rsidRPr="00F636EF">
        <w:rPr>
          <w:rFonts w:ascii="Arial" w:hAnsi="Arial" w:cs="Arial"/>
          <w:sz w:val="22"/>
          <w:szCs w:val="22"/>
        </w:rPr>
        <w:t xml:space="preserve"> to the financial statements. The determination of fair value of financial instruments </w:t>
      </w:r>
      <w:r w:rsidR="001C5EDC" w:rsidRPr="00F636EF">
        <w:rPr>
          <w:rFonts w:ascii="Arial" w:hAnsi="Arial" w:cs="Arial"/>
          <w:sz w:val="22"/>
          <w:szCs w:val="22"/>
        </w:rPr>
        <w:t>involves</w:t>
      </w:r>
      <w:r w:rsidRPr="00F636EF">
        <w:rPr>
          <w:rFonts w:ascii="Arial" w:hAnsi="Arial" w:cs="Arial"/>
          <w:sz w:val="22"/>
          <w:szCs w:val="22"/>
        </w:rPr>
        <w:t xml:space="preserve"> significant accounting estimates</w:t>
      </w:r>
      <w:r w:rsidR="001C5EDC" w:rsidRPr="00F636EF">
        <w:rPr>
          <w:rFonts w:ascii="Arial" w:hAnsi="Arial" w:cs="Arial"/>
          <w:sz w:val="22"/>
          <w:szCs w:val="22"/>
        </w:rPr>
        <w:t>,</w:t>
      </w:r>
      <w:r w:rsidRPr="00F636EF">
        <w:rPr>
          <w:rFonts w:ascii="Arial" w:hAnsi="Arial" w:cs="Arial"/>
          <w:sz w:val="22"/>
          <w:szCs w:val="22"/>
        </w:rPr>
        <w:t xml:space="preserve"> requiring management to exercise a high degree of judgment in selection of the </w:t>
      </w:r>
      <w:r w:rsidR="00DC350F" w:rsidRPr="00F636EF">
        <w:rPr>
          <w:rFonts w:ascii="Arial" w:hAnsi="Arial" w:cs="Arial"/>
          <w:sz w:val="22"/>
          <w:szCs w:val="22"/>
        </w:rPr>
        <w:t xml:space="preserve">valuation </w:t>
      </w:r>
      <w:r w:rsidRPr="00F636EF">
        <w:rPr>
          <w:rFonts w:ascii="Arial" w:hAnsi="Arial" w:cs="Arial"/>
          <w:sz w:val="22"/>
          <w:szCs w:val="22"/>
        </w:rPr>
        <w:t>method</w:t>
      </w:r>
      <w:r w:rsidR="00DC350F" w:rsidRPr="00F636EF">
        <w:rPr>
          <w:rFonts w:ascii="Arial" w:hAnsi="Arial" w:cs="Arial"/>
          <w:sz w:val="22"/>
          <w:szCs w:val="22"/>
        </w:rPr>
        <w:t>s</w:t>
      </w:r>
      <w:r w:rsidRPr="00F636EF">
        <w:rPr>
          <w:rFonts w:ascii="Arial" w:hAnsi="Arial" w:cs="Arial"/>
          <w:sz w:val="22"/>
          <w:szCs w:val="22"/>
        </w:rPr>
        <w:t xml:space="preserve"> and consideration of relevant assumptions.</w:t>
      </w:r>
    </w:p>
    <w:p w14:paraId="1E9A4BED" w14:textId="77777777" w:rsidR="002903B7" w:rsidRDefault="002903B7">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1B66A587" w14:textId="0280B487" w:rsidR="004C594A" w:rsidRPr="00F636EF" w:rsidRDefault="002B1A7E" w:rsidP="002903B7">
      <w:pPr>
        <w:overflowPunct/>
        <w:autoSpaceDE/>
        <w:autoSpaceDN/>
        <w:adjustRightInd/>
        <w:spacing w:before="120" w:after="120" w:line="380" w:lineRule="exact"/>
        <w:textAlignment w:val="auto"/>
        <w:rPr>
          <w:rFonts w:ascii="Arial" w:hAnsi="Arial" w:cs="Arial"/>
          <w:sz w:val="22"/>
          <w:szCs w:val="22"/>
        </w:rPr>
      </w:pPr>
      <w:r w:rsidRPr="00F636EF">
        <w:rPr>
          <w:rFonts w:ascii="Arial" w:hAnsi="Arial" w:cs="Arial"/>
          <w:sz w:val="22"/>
          <w:szCs w:val="22"/>
        </w:rPr>
        <w:lastRenderedPageBreak/>
        <w:t xml:space="preserve">I assessed the classification of financial instruments by gaining an understanding of content </w:t>
      </w:r>
      <w:r w:rsidR="00D95BBD" w:rsidRPr="00F636EF">
        <w:rPr>
          <w:rFonts w:ascii="Arial" w:hAnsi="Arial" w:cs="Arial"/>
          <w:sz w:val="22"/>
          <w:szCs w:val="22"/>
        </w:rPr>
        <w:t xml:space="preserve">                                           </w:t>
      </w:r>
      <w:r w:rsidRPr="00F636EF">
        <w:rPr>
          <w:rFonts w:ascii="Arial" w:hAnsi="Arial" w:cs="Arial"/>
          <w:sz w:val="22"/>
          <w:szCs w:val="22"/>
        </w:rPr>
        <w:t xml:space="preserve">and details of financial instruments, </w:t>
      </w:r>
      <w:r w:rsidR="00D95BBD" w:rsidRPr="00F636EF">
        <w:rPr>
          <w:rFonts w:ascii="Arial" w:hAnsi="Arial" w:cs="Arial"/>
          <w:sz w:val="22"/>
          <w:szCs w:val="22"/>
        </w:rPr>
        <w:t xml:space="preserve">including considering whether the transactions of financial instruments </w:t>
      </w:r>
      <w:r w:rsidR="00C43D58" w:rsidRPr="00F636EF">
        <w:rPr>
          <w:rFonts w:ascii="Arial" w:hAnsi="Arial" w:cs="Arial"/>
          <w:sz w:val="22"/>
          <w:szCs w:val="22"/>
        </w:rPr>
        <w:t xml:space="preserve">made </w:t>
      </w:r>
      <w:r w:rsidR="00D95BBD" w:rsidRPr="00F636EF">
        <w:rPr>
          <w:rFonts w:ascii="Arial" w:hAnsi="Arial" w:cs="Arial"/>
          <w:sz w:val="22"/>
          <w:szCs w:val="22"/>
        </w:rPr>
        <w:t xml:space="preserve">by the Group comply with the Group’s policies. I also evaluated whether the recording of such transactions aligns with the </w:t>
      </w:r>
      <w:r w:rsidR="009C1626" w:rsidRPr="00F636EF">
        <w:rPr>
          <w:rFonts w:ascii="Arial" w:hAnsi="Arial" w:cs="Arial"/>
          <w:sz w:val="22"/>
          <w:szCs w:val="22"/>
        </w:rPr>
        <w:t xml:space="preserve">related </w:t>
      </w:r>
      <w:r w:rsidR="00D95BBD" w:rsidRPr="00F636EF">
        <w:rPr>
          <w:rFonts w:ascii="Arial" w:hAnsi="Arial" w:cs="Arial"/>
          <w:sz w:val="22"/>
          <w:szCs w:val="22"/>
        </w:rPr>
        <w:t>financial reporting standards</w:t>
      </w:r>
      <w:r w:rsidRPr="00F636EF">
        <w:rPr>
          <w:rFonts w:ascii="Arial" w:hAnsi="Arial" w:cs="Arial"/>
          <w:sz w:val="22"/>
          <w:szCs w:val="22"/>
        </w:rPr>
        <w:t>.</w:t>
      </w:r>
      <w:r w:rsidR="00D95BBD" w:rsidRPr="00F636EF">
        <w:rPr>
          <w:rFonts w:ascii="Arial" w:hAnsi="Arial" w:cs="Arial"/>
          <w:sz w:val="22"/>
          <w:szCs w:val="22"/>
        </w:rPr>
        <w:t xml:space="preserve">                                            </w:t>
      </w:r>
      <w:r w:rsidRPr="00F636EF">
        <w:rPr>
          <w:rFonts w:ascii="Arial" w:hAnsi="Arial" w:cs="Arial"/>
          <w:sz w:val="22"/>
          <w:szCs w:val="22"/>
        </w:rPr>
        <w:t xml:space="preserve"> I assessed the method used in fair value measurement</w:t>
      </w:r>
      <w:r w:rsidR="00E26DD7" w:rsidRPr="00F636EF">
        <w:rPr>
          <w:rFonts w:ascii="Arial" w:hAnsi="Arial" w:cs="Arial"/>
          <w:sz w:val="22"/>
          <w:szCs w:val="22"/>
        </w:rPr>
        <w:t xml:space="preserve">. </w:t>
      </w:r>
      <w:r w:rsidRPr="00F636EF">
        <w:rPr>
          <w:rFonts w:ascii="Arial" w:hAnsi="Arial" w:cs="Arial"/>
          <w:sz w:val="22"/>
          <w:szCs w:val="22"/>
        </w:rPr>
        <w:t>I have also assessed the information used in calculation of fair value</w:t>
      </w:r>
      <w:r w:rsidR="00A47802" w:rsidRPr="00F636EF">
        <w:rPr>
          <w:rFonts w:ascii="Arial" w:hAnsi="Arial" w:cs="Arial"/>
          <w:sz w:val="22"/>
          <w:szCs w:val="22"/>
        </w:rPr>
        <w:t xml:space="preserve"> of financial instruments</w:t>
      </w:r>
      <w:r w:rsidRPr="00F636EF">
        <w:rPr>
          <w:rFonts w:ascii="Arial" w:hAnsi="Arial" w:cs="Arial"/>
          <w:sz w:val="22"/>
          <w:szCs w:val="22"/>
        </w:rPr>
        <w:t xml:space="preserve"> by gaining an understanding of the management’s decision-making process as to whether the decisions are consistent with the facts </w:t>
      </w:r>
      <w:r w:rsidRPr="00F636EF">
        <w:rPr>
          <w:rFonts w:ascii="Arial" w:hAnsi="Arial" w:cs="Browallia New"/>
          <w:sz w:val="22"/>
          <w:szCs w:val="22"/>
        </w:rPr>
        <w:t xml:space="preserve">and contents </w:t>
      </w:r>
      <w:r w:rsidRPr="00F636EF">
        <w:rPr>
          <w:rFonts w:ascii="Arial" w:hAnsi="Arial" w:cs="Arial"/>
          <w:sz w:val="22"/>
          <w:szCs w:val="22"/>
        </w:rPr>
        <w:t>of each financial instrument. In addition,</w:t>
      </w:r>
      <w:r w:rsidR="00E26DD7" w:rsidRPr="00F636EF">
        <w:rPr>
          <w:rFonts w:ascii="Arial" w:hAnsi="Arial" w:cs="Arial"/>
          <w:sz w:val="22"/>
          <w:szCs w:val="22"/>
        </w:rPr>
        <w:t xml:space="preserve"> </w:t>
      </w:r>
      <w:r w:rsidRPr="00F636EF">
        <w:rPr>
          <w:rFonts w:ascii="Arial" w:hAnsi="Arial" w:cs="Arial"/>
          <w:sz w:val="22"/>
          <w:szCs w:val="22"/>
        </w:rPr>
        <w:t xml:space="preserve">I </w:t>
      </w:r>
      <w:r w:rsidR="008C3062" w:rsidRPr="00F636EF">
        <w:rPr>
          <w:rFonts w:ascii="Arial" w:hAnsi="Arial" w:cs="Arial"/>
          <w:sz w:val="22"/>
          <w:szCs w:val="22"/>
        </w:rPr>
        <w:t>considered</w:t>
      </w:r>
      <w:r w:rsidRPr="00F636EF">
        <w:rPr>
          <w:rFonts w:ascii="Arial" w:hAnsi="Arial" w:cs="Arial"/>
          <w:sz w:val="22"/>
          <w:szCs w:val="22"/>
        </w:rPr>
        <w:t xml:space="preserve"> the appropriateness of significant assumptions </w:t>
      </w:r>
      <w:r w:rsidR="008C3062" w:rsidRPr="00F636EF">
        <w:rPr>
          <w:rFonts w:ascii="Arial" w:hAnsi="Arial" w:cs="Arial"/>
          <w:sz w:val="22"/>
          <w:szCs w:val="22"/>
        </w:rPr>
        <w:t>and</w:t>
      </w:r>
      <w:r w:rsidRPr="00F636EF">
        <w:rPr>
          <w:rFonts w:ascii="Arial" w:hAnsi="Arial" w:cs="Arial"/>
          <w:sz w:val="22"/>
          <w:szCs w:val="22"/>
        </w:rPr>
        <w:t xml:space="preserve"> tested the calculation of the</w:t>
      </w:r>
      <w:r w:rsidR="00E26DD7" w:rsidRPr="00F636EF">
        <w:rPr>
          <w:rFonts w:ascii="Arial" w:hAnsi="Arial" w:cs="Arial"/>
          <w:sz w:val="22"/>
          <w:szCs w:val="22"/>
        </w:rPr>
        <w:t xml:space="preserve"> </w:t>
      </w:r>
      <w:r w:rsidRPr="00F636EF">
        <w:rPr>
          <w:rFonts w:ascii="Arial" w:hAnsi="Arial" w:cs="Arial"/>
          <w:sz w:val="22"/>
          <w:szCs w:val="22"/>
        </w:rPr>
        <w:t>fair value of financial instruments using the selected financial model</w:t>
      </w:r>
      <w:r w:rsidR="008C3062" w:rsidRPr="00F636EF">
        <w:rPr>
          <w:rFonts w:ascii="Arial" w:hAnsi="Arial" w:cs="Arial"/>
          <w:sz w:val="22"/>
          <w:szCs w:val="22"/>
        </w:rPr>
        <w:t xml:space="preserve"> applied by management</w:t>
      </w:r>
      <w:r w:rsidRPr="00F636EF">
        <w:rPr>
          <w:rFonts w:ascii="Arial" w:hAnsi="Arial" w:cs="Arial"/>
          <w:sz w:val="22"/>
          <w:szCs w:val="22"/>
        </w:rPr>
        <w:t>.</w:t>
      </w:r>
    </w:p>
    <w:p w14:paraId="4BE8E3CA" w14:textId="692B5C92" w:rsidR="006364E7" w:rsidRPr="00F636EF" w:rsidRDefault="006364E7" w:rsidP="002903B7">
      <w:pPr>
        <w:overflowPunct/>
        <w:autoSpaceDE/>
        <w:autoSpaceDN/>
        <w:adjustRightInd/>
        <w:spacing w:before="240" w:after="120" w:line="380" w:lineRule="exact"/>
        <w:textAlignment w:val="auto"/>
        <w:rPr>
          <w:rFonts w:ascii="Arial" w:hAnsi="Arial" w:cs="Arial"/>
          <w:b/>
          <w:bCs/>
          <w:i/>
          <w:iCs/>
          <w:sz w:val="22"/>
          <w:szCs w:val="22"/>
        </w:rPr>
      </w:pPr>
      <w:r w:rsidRPr="00F636EF">
        <w:rPr>
          <w:rFonts w:ascii="Arial" w:hAnsi="Arial" w:cs="Arial"/>
          <w:b/>
          <w:bCs/>
          <w:i/>
          <w:iCs/>
          <w:sz w:val="22"/>
          <w:szCs w:val="22"/>
        </w:rPr>
        <w:t xml:space="preserve">Allocation of transactions relating to sale of net future fare box revenues </w:t>
      </w:r>
    </w:p>
    <w:p w14:paraId="40779B9E" w14:textId="4300E2A2" w:rsidR="006364E7" w:rsidRPr="00F636EF" w:rsidRDefault="006364E7" w:rsidP="002903B7">
      <w:pPr>
        <w:overflowPunct/>
        <w:autoSpaceDE/>
        <w:autoSpaceDN/>
        <w:adjustRightInd/>
        <w:spacing w:before="120" w:after="120" w:line="380" w:lineRule="exact"/>
        <w:textAlignment w:val="auto"/>
        <w:rPr>
          <w:rFonts w:ascii="Arial" w:eastAsia="Arial Unicode MS" w:hAnsi="Arial" w:cs="Arial"/>
          <w:spacing w:val="-3"/>
          <w:sz w:val="22"/>
          <w:szCs w:val="22"/>
        </w:rPr>
      </w:pPr>
      <w:r w:rsidRPr="00F636EF">
        <w:rPr>
          <w:rFonts w:ascii="Arial" w:eastAsia="Calibri" w:hAnsi="Arial" w:cs="Arial"/>
          <w:sz w:val="22"/>
          <w:szCs w:val="22"/>
        </w:rPr>
        <w:t xml:space="preserve">In 2013, the </w:t>
      </w:r>
      <w:r w:rsidR="005516AB" w:rsidRPr="00F636EF">
        <w:rPr>
          <w:rFonts w:ascii="Arial" w:eastAsia="Arial Unicode MS" w:hAnsi="Arial" w:cs="Browallia New"/>
          <w:spacing w:val="-3"/>
          <w:sz w:val="22"/>
          <w:szCs w:val="28"/>
        </w:rPr>
        <w:t>subsidiary</w:t>
      </w:r>
      <w:r w:rsidRPr="00F636EF">
        <w:rPr>
          <w:rFonts w:ascii="Arial" w:eastAsia="Arial Unicode MS" w:hAnsi="Arial" w:cs="Arial"/>
          <w:spacing w:val="-3"/>
          <w:sz w:val="22"/>
          <w:szCs w:val="22"/>
        </w:rPr>
        <w:t xml:space="preserve"> sold the rights to collect future fare box revenues to BTS Rail Mass Transit Growth Infrastructure Fund (“BTSGIF”), and the basis of recognition of the relevant transactions from an accounting and tax perspective is discussed in Note 1</w:t>
      </w:r>
      <w:r w:rsidR="00F11887" w:rsidRPr="00F636EF">
        <w:rPr>
          <w:rFonts w:ascii="Arial" w:eastAsia="Arial Unicode MS" w:hAnsi="Arial" w:cs="Arial"/>
          <w:spacing w:val="-3"/>
          <w:sz w:val="22"/>
          <w:szCs w:val="22"/>
        </w:rPr>
        <w:t>.2.1</w:t>
      </w:r>
      <w:r w:rsidRPr="00F636EF">
        <w:rPr>
          <w:rFonts w:ascii="Arial" w:eastAsia="Arial Unicode MS" w:hAnsi="Arial" w:cs="Arial"/>
          <w:spacing w:val="-3"/>
          <w:sz w:val="22"/>
          <w:szCs w:val="22"/>
        </w:rPr>
        <w:t xml:space="preserve"> </w:t>
      </w:r>
      <w:r w:rsidR="00382681" w:rsidRPr="00F636EF">
        <w:rPr>
          <w:rFonts w:ascii="Arial" w:eastAsia="Arial Unicode MS" w:hAnsi="Arial" w:cs="Arial"/>
          <w:spacing w:val="-3"/>
          <w:sz w:val="22"/>
          <w:szCs w:val="22"/>
        </w:rPr>
        <w:t xml:space="preserve">a) </w:t>
      </w:r>
      <w:r w:rsidRPr="00F636EF">
        <w:rPr>
          <w:rFonts w:ascii="Arial" w:eastAsia="Arial Unicode MS" w:hAnsi="Arial" w:cs="Arial"/>
          <w:spacing w:val="-3"/>
          <w:sz w:val="22"/>
          <w:szCs w:val="22"/>
        </w:rPr>
        <w:t xml:space="preserve">to the financial statements. During the year, the </w:t>
      </w:r>
      <w:r w:rsidR="00440BC3" w:rsidRPr="00F636EF">
        <w:rPr>
          <w:rFonts w:ascii="Arial" w:eastAsia="Arial Unicode MS" w:hAnsi="Arial" w:cs="Arial"/>
          <w:spacing w:val="-3"/>
          <w:sz w:val="22"/>
          <w:szCs w:val="22"/>
        </w:rPr>
        <w:t>Group</w:t>
      </w:r>
      <w:r w:rsidRPr="00F636EF">
        <w:rPr>
          <w:rFonts w:ascii="Arial" w:eastAsia="Arial Unicode MS" w:hAnsi="Arial" w:cs="Arial"/>
          <w:spacing w:val="-3"/>
          <w:sz w:val="22"/>
          <w:szCs w:val="22"/>
        </w:rPr>
        <w:t xml:space="preserve"> had significant transactions relating to the above transaction, consisting of allocations of assets, liabilities, revenues and expenses to BTSGIF (“Allocation transactions relating to sale of net future fare box re</w:t>
      </w:r>
      <w:r w:rsidR="00EA3599" w:rsidRPr="00F636EF">
        <w:rPr>
          <w:rFonts w:ascii="Arial" w:eastAsia="Arial Unicode MS" w:hAnsi="Arial" w:cs="Arial"/>
          <w:spacing w:val="-3"/>
          <w:sz w:val="22"/>
          <w:szCs w:val="22"/>
        </w:rPr>
        <w:t xml:space="preserve">venues”). As discussed in Note </w:t>
      </w:r>
      <w:r w:rsidR="00650953" w:rsidRPr="00F636EF">
        <w:rPr>
          <w:rFonts w:ascii="Arial" w:eastAsia="Arial Unicode MS" w:hAnsi="Arial" w:cs="Arial"/>
          <w:spacing w:val="-3"/>
          <w:sz w:val="22"/>
          <w:szCs w:val="22"/>
        </w:rPr>
        <w:t>6</w:t>
      </w:r>
      <w:r w:rsidR="0080308A" w:rsidRPr="00F636EF">
        <w:rPr>
          <w:rFonts w:ascii="Arial" w:eastAsia="Arial Unicode MS" w:hAnsi="Arial" w:cs="Arial"/>
          <w:spacing w:val="-3"/>
          <w:sz w:val="22"/>
          <w:szCs w:val="22"/>
        </w:rPr>
        <w:t xml:space="preserve"> </w:t>
      </w:r>
      <w:r w:rsidRPr="00F636EF">
        <w:rPr>
          <w:rFonts w:ascii="Arial" w:eastAsia="Arial Unicode MS" w:hAnsi="Arial" w:cs="Arial"/>
          <w:spacing w:val="-3"/>
          <w:sz w:val="22"/>
          <w:szCs w:val="22"/>
        </w:rPr>
        <w:t xml:space="preserve">to the financial statements, </w:t>
      </w:r>
      <w:r w:rsidRPr="00F636EF">
        <w:rPr>
          <w:rFonts w:ascii="Arial" w:eastAsia="Calibri" w:hAnsi="Arial" w:cs="Arial"/>
          <w:sz w:val="22"/>
          <w:szCs w:val="22"/>
        </w:rPr>
        <w:t>in making these allocations the</w:t>
      </w:r>
      <w:r w:rsidRPr="00F636EF">
        <w:rPr>
          <w:rFonts w:ascii="Arial" w:eastAsia="Calibri" w:hAnsi="Arial" w:cs="Arial"/>
          <w:b/>
          <w:bCs/>
          <w:sz w:val="22"/>
          <w:szCs w:val="22"/>
        </w:rPr>
        <w:t xml:space="preserve"> </w:t>
      </w:r>
      <w:r w:rsidRPr="00F636EF">
        <w:rPr>
          <w:rFonts w:ascii="Arial" w:eastAsia="Calibri" w:hAnsi="Arial" w:cs="Arial"/>
          <w:spacing w:val="-2"/>
          <w:sz w:val="22"/>
          <w:szCs w:val="22"/>
        </w:rPr>
        <w:t>management needed to apply significant judg</w:t>
      </w:r>
      <w:r w:rsidR="001F1CFF" w:rsidRPr="00F636EF">
        <w:rPr>
          <w:rFonts w:ascii="Arial" w:eastAsia="Calibri" w:hAnsi="Arial" w:cs="Arial"/>
          <w:spacing w:val="-2"/>
          <w:sz w:val="22"/>
          <w:szCs w:val="22"/>
        </w:rPr>
        <w:t>e</w:t>
      </w:r>
      <w:r w:rsidRPr="00F636EF">
        <w:rPr>
          <w:rFonts w:ascii="Arial" w:eastAsia="Calibri" w:hAnsi="Arial" w:cs="Arial"/>
          <w:spacing w:val="-2"/>
          <w:sz w:val="22"/>
          <w:szCs w:val="22"/>
        </w:rPr>
        <w:t xml:space="preserve">ment to determine the basis and assumptions for recognition of the transactions </w:t>
      </w:r>
      <w:r w:rsidRPr="00F636EF">
        <w:rPr>
          <w:rFonts w:ascii="Arial" w:eastAsia="Calibri" w:hAnsi="Arial" w:cs="Arial"/>
          <w:sz w:val="22"/>
          <w:szCs w:val="22"/>
        </w:rPr>
        <w:t xml:space="preserve">in compliance with the terms and </w:t>
      </w:r>
      <w:r w:rsidRPr="00F636EF">
        <w:rPr>
          <w:rFonts w:ascii="Arial" w:eastAsia="Arial Unicode MS" w:hAnsi="Arial" w:cs="Arial"/>
          <w:spacing w:val="-3"/>
          <w:sz w:val="22"/>
          <w:szCs w:val="22"/>
        </w:rPr>
        <w:t>conditions stipulated in the agreements made with BTSGIF.</w:t>
      </w:r>
    </w:p>
    <w:p w14:paraId="4E5A5EBD" w14:textId="6E2583DF" w:rsidR="00FD4745" w:rsidRPr="00F636EF" w:rsidRDefault="00FD4745" w:rsidP="002903B7">
      <w:pPr>
        <w:overflowPunct/>
        <w:autoSpaceDE/>
        <w:autoSpaceDN/>
        <w:adjustRightInd/>
        <w:spacing w:before="120" w:after="120" w:line="380" w:lineRule="exact"/>
        <w:textAlignment w:val="auto"/>
        <w:rPr>
          <w:rFonts w:ascii="Arial" w:eastAsia="Arial Unicode MS" w:hAnsi="Arial" w:cs="Arial"/>
          <w:spacing w:val="-3"/>
          <w:sz w:val="22"/>
          <w:szCs w:val="22"/>
        </w:rPr>
      </w:pPr>
      <w:r w:rsidRPr="00F636EF">
        <w:rPr>
          <w:rFonts w:ascii="Arial" w:eastAsia="Arial Unicode MS" w:hAnsi="Arial" w:cs="Arial"/>
          <w:spacing w:val="-3"/>
          <w:sz w:val="22"/>
          <w:szCs w:val="22"/>
        </w:rPr>
        <w:t xml:space="preserve">I assessed the management’s consideration regarding the allocation </w:t>
      </w:r>
      <w:r w:rsidR="00B75B99" w:rsidRPr="00F636EF">
        <w:rPr>
          <w:rFonts w:ascii="Arial" w:eastAsia="Arial Unicode MS" w:hAnsi="Arial" w:cs="Arial"/>
          <w:spacing w:val="-3"/>
          <w:sz w:val="22"/>
          <w:szCs w:val="22"/>
        </w:rPr>
        <w:t>transactions relating to the sale of net future fare box revenues</w:t>
      </w:r>
      <w:r w:rsidRPr="00F636EF">
        <w:rPr>
          <w:rFonts w:ascii="Arial" w:eastAsia="Arial Unicode MS" w:hAnsi="Arial" w:cs="Arial"/>
          <w:spacing w:val="-3"/>
          <w:sz w:val="22"/>
          <w:szCs w:val="22"/>
        </w:rPr>
        <w:t xml:space="preserve"> by inquiring with the responsible management about the criteria and assumptions used in recording such </w:t>
      </w:r>
      <w:r w:rsidR="00A775FA" w:rsidRPr="00F636EF">
        <w:rPr>
          <w:rFonts w:ascii="Arial" w:eastAsia="Arial Unicode MS" w:hAnsi="Arial" w:cs="Arial"/>
          <w:spacing w:val="-3"/>
          <w:sz w:val="22"/>
          <w:szCs w:val="22"/>
        </w:rPr>
        <w:t>transactions</w:t>
      </w:r>
      <w:r w:rsidRPr="00F636EF">
        <w:rPr>
          <w:rFonts w:ascii="Arial" w:eastAsia="Arial Unicode MS" w:hAnsi="Arial" w:cs="Arial"/>
          <w:spacing w:val="-3"/>
          <w:sz w:val="22"/>
          <w:szCs w:val="22"/>
        </w:rPr>
        <w:t xml:space="preserve">. I compared these criteria and assumptions with the terms and conditions stipulated in the agreements made with </w:t>
      </w:r>
      <w:r w:rsidR="00A9299C" w:rsidRPr="00F636EF">
        <w:rPr>
          <w:rFonts w:ascii="Arial" w:eastAsia="Arial Unicode MS" w:hAnsi="Arial" w:cs="Arial"/>
          <w:spacing w:val="-3"/>
          <w:sz w:val="22"/>
          <w:szCs w:val="22"/>
        </w:rPr>
        <w:t>BTSGIF</w:t>
      </w:r>
      <w:r w:rsidRPr="00F636EF">
        <w:rPr>
          <w:rFonts w:ascii="Arial" w:eastAsia="Arial Unicode MS" w:hAnsi="Arial" w:cs="Arial"/>
          <w:spacing w:val="-3"/>
          <w:sz w:val="22"/>
          <w:szCs w:val="22"/>
        </w:rPr>
        <w:t xml:space="preserve">. Additionally, I evaluated and tested the internal controls related to the recording of these </w:t>
      </w:r>
      <w:r w:rsidR="008763AB" w:rsidRPr="00F636EF">
        <w:rPr>
          <w:rFonts w:ascii="Arial" w:eastAsia="Arial Unicode MS" w:hAnsi="Arial" w:cs="Arial"/>
          <w:spacing w:val="-3"/>
          <w:sz w:val="22"/>
          <w:szCs w:val="22"/>
        </w:rPr>
        <w:t>transactions</w:t>
      </w:r>
      <w:r w:rsidRPr="00F636EF">
        <w:rPr>
          <w:rFonts w:ascii="Arial" w:eastAsia="Arial Unicode MS" w:hAnsi="Arial" w:cs="Arial"/>
          <w:spacing w:val="-3"/>
          <w:sz w:val="22"/>
          <w:szCs w:val="22"/>
        </w:rPr>
        <w:t xml:space="preserve"> by inquiring with those responsible, understanding the controls, and selecting samples to test compliance with the controls designed by the subsidiary. Furthermore, I performed sample testing of the allocation of items related to </w:t>
      </w:r>
      <w:r w:rsidR="00825417" w:rsidRPr="00F636EF">
        <w:rPr>
          <w:rFonts w:ascii="Arial" w:eastAsia="Arial Unicode MS" w:hAnsi="Arial" w:cs="Arial"/>
          <w:spacing w:val="-3"/>
          <w:sz w:val="22"/>
          <w:szCs w:val="22"/>
        </w:rPr>
        <w:t xml:space="preserve">sale of net future fare box revenues </w:t>
      </w:r>
      <w:r w:rsidRPr="00F636EF">
        <w:rPr>
          <w:rFonts w:ascii="Arial" w:eastAsia="Arial Unicode MS" w:hAnsi="Arial" w:cs="Arial"/>
          <w:spacing w:val="-3"/>
          <w:sz w:val="22"/>
          <w:szCs w:val="22"/>
        </w:rPr>
        <w:t xml:space="preserve">and sent confirmation letters to </w:t>
      </w:r>
      <w:r w:rsidR="009100D5" w:rsidRPr="00F636EF">
        <w:rPr>
          <w:rFonts w:ascii="Arial" w:eastAsia="Arial Unicode MS" w:hAnsi="Arial" w:cs="Arial"/>
          <w:spacing w:val="-3"/>
          <w:sz w:val="22"/>
          <w:szCs w:val="22"/>
        </w:rPr>
        <w:t>BTSGIF</w:t>
      </w:r>
      <w:r w:rsidRPr="00F636EF">
        <w:rPr>
          <w:rFonts w:ascii="Arial" w:eastAsia="Arial Unicode MS" w:hAnsi="Arial" w:cs="Arial"/>
          <w:spacing w:val="-3"/>
          <w:sz w:val="22"/>
          <w:szCs w:val="22"/>
        </w:rPr>
        <w:t xml:space="preserve"> to verify balances related to the allocation items, including intercompany balances and net </w:t>
      </w:r>
      <w:r w:rsidR="00F45184" w:rsidRPr="00F636EF">
        <w:rPr>
          <w:rFonts w:ascii="Arial" w:eastAsia="Arial Unicode MS" w:hAnsi="Arial" w:cs="Arial"/>
          <w:spacing w:val="-3"/>
          <w:sz w:val="22"/>
          <w:szCs w:val="22"/>
        </w:rPr>
        <w:t>fare box revenue</w:t>
      </w:r>
      <w:r w:rsidR="006D5968" w:rsidRPr="00F636EF">
        <w:rPr>
          <w:rFonts w:ascii="Arial" w:eastAsia="Arial Unicode MS" w:hAnsi="Arial" w:cs="Arial"/>
          <w:spacing w:val="-3"/>
          <w:sz w:val="22"/>
          <w:szCs w:val="22"/>
        </w:rPr>
        <w:t xml:space="preserve"> </w:t>
      </w:r>
      <w:r w:rsidRPr="00F636EF">
        <w:rPr>
          <w:rFonts w:ascii="Arial" w:eastAsia="Arial Unicode MS" w:hAnsi="Arial" w:cs="Arial"/>
          <w:spacing w:val="-3"/>
          <w:sz w:val="22"/>
          <w:szCs w:val="22"/>
        </w:rPr>
        <w:t>remittances during the year.</w:t>
      </w:r>
    </w:p>
    <w:p w14:paraId="0DF238ED" w14:textId="77777777" w:rsidR="002903B7" w:rsidRDefault="002903B7">
      <w:pPr>
        <w:overflowPunct/>
        <w:autoSpaceDE/>
        <w:autoSpaceDN/>
        <w:adjustRightInd/>
        <w:spacing w:after="200" w:line="276" w:lineRule="auto"/>
        <w:textAlignment w:val="auto"/>
        <w:rPr>
          <w:rFonts w:ascii="Arial" w:hAnsi="Arial" w:cs="Arial"/>
          <w:b/>
          <w:bCs/>
          <w:i/>
          <w:iCs/>
          <w:sz w:val="22"/>
          <w:szCs w:val="22"/>
        </w:rPr>
      </w:pPr>
      <w:r>
        <w:rPr>
          <w:rFonts w:ascii="Arial" w:hAnsi="Arial" w:cs="Arial"/>
          <w:b/>
          <w:bCs/>
          <w:i/>
          <w:iCs/>
          <w:sz w:val="22"/>
          <w:szCs w:val="22"/>
        </w:rPr>
        <w:br w:type="page"/>
      </w:r>
    </w:p>
    <w:p w14:paraId="1D1F40F4" w14:textId="205F9560" w:rsidR="004B00D1" w:rsidRPr="00F636EF" w:rsidRDefault="004B00D1" w:rsidP="002903B7">
      <w:pPr>
        <w:overflowPunct/>
        <w:autoSpaceDE/>
        <w:autoSpaceDN/>
        <w:adjustRightInd/>
        <w:spacing w:before="240" w:after="120" w:line="380" w:lineRule="exact"/>
        <w:textAlignment w:val="auto"/>
        <w:rPr>
          <w:rFonts w:ascii="Arial" w:hAnsi="Arial" w:cs="Arial"/>
          <w:b/>
          <w:bCs/>
          <w:i/>
          <w:iCs/>
          <w:sz w:val="22"/>
          <w:szCs w:val="22"/>
        </w:rPr>
      </w:pPr>
      <w:r w:rsidRPr="00F636EF">
        <w:rPr>
          <w:rFonts w:ascii="Arial" w:hAnsi="Arial" w:cs="Arial"/>
          <w:b/>
          <w:bCs/>
          <w:i/>
          <w:iCs/>
          <w:sz w:val="22"/>
          <w:szCs w:val="22"/>
        </w:rPr>
        <w:lastRenderedPageBreak/>
        <w:t xml:space="preserve">Business combination </w:t>
      </w:r>
    </w:p>
    <w:p w14:paraId="10EF75CF" w14:textId="65F89517" w:rsidR="0083783B" w:rsidRPr="00F636EF" w:rsidRDefault="0083783B" w:rsidP="002903B7">
      <w:pPr>
        <w:overflowPunct/>
        <w:autoSpaceDE/>
        <w:autoSpaceDN/>
        <w:adjustRightInd/>
        <w:spacing w:before="120" w:after="120" w:line="380" w:lineRule="exact"/>
        <w:textAlignment w:val="auto"/>
        <w:rPr>
          <w:rFonts w:ascii="Arial" w:eastAsia="Arial Unicode MS" w:hAnsi="Arial" w:cs="Arial"/>
          <w:spacing w:val="-3"/>
          <w:sz w:val="22"/>
          <w:szCs w:val="22"/>
        </w:rPr>
      </w:pPr>
      <w:r w:rsidRPr="00F636EF">
        <w:rPr>
          <w:rFonts w:ascii="Arial" w:eastAsia="Arial Unicode MS" w:hAnsi="Arial" w:cs="Arial"/>
          <w:spacing w:val="-3"/>
          <w:sz w:val="22"/>
          <w:szCs w:val="22"/>
        </w:rPr>
        <w:t xml:space="preserve">As discussed in Note 16.1.4 to the financial statements, during the year 2024, the Company acquired shares in an associate, Rabbit Holdings Public Company Limited. As </w:t>
      </w:r>
      <w:r w:rsidR="00F636EF">
        <w:rPr>
          <w:rFonts w:ascii="Arial" w:eastAsia="Arial Unicode MS" w:hAnsi="Arial" w:cs="Arial"/>
          <w:spacing w:val="-3"/>
          <w:sz w:val="22"/>
          <w:szCs w:val="22"/>
        </w:rPr>
        <w:t xml:space="preserve">at 31 </w:t>
      </w:r>
      <w:r w:rsidRPr="00F636EF">
        <w:rPr>
          <w:rFonts w:ascii="Arial" w:eastAsia="Arial Unicode MS" w:hAnsi="Arial" w:cs="Arial"/>
          <w:spacing w:val="-3"/>
          <w:sz w:val="22"/>
          <w:szCs w:val="22"/>
        </w:rPr>
        <w:t xml:space="preserve">March 2025, the Group recorded preliminary accounting entries for the business combination using the best estimates of the fair values of identifiable assets acquired and liabilities assumed in accordance with the purchase method. The measurement of the fair values of these identifiable assets acquired and the liabilities assumed at the acquisition date were </w:t>
      </w:r>
      <w:r w:rsidR="00325894" w:rsidRPr="00F636EF">
        <w:rPr>
          <w:rFonts w:ascii="Arial" w:eastAsia="Arial Unicode MS" w:hAnsi="Arial" w:cs="Arial"/>
          <w:spacing w:val="-3"/>
          <w:sz w:val="22"/>
          <w:szCs w:val="22"/>
        </w:rPr>
        <w:t>completed</w:t>
      </w:r>
      <w:r w:rsidRPr="00F636EF">
        <w:rPr>
          <w:rFonts w:ascii="Arial" w:eastAsia="Arial Unicode MS" w:hAnsi="Arial" w:cs="Arial"/>
          <w:spacing w:val="-3"/>
          <w:sz w:val="22"/>
          <w:szCs w:val="22"/>
        </w:rPr>
        <w:t xml:space="preserve"> during 2025. The Group recognized a </w:t>
      </w:r>
      <w:r w:rsidR="00BF0E0B" w:rsidRPr="00F636EF">
        <w:rPr>
          <w:rFonts w:ascii="Arial" w:eastAsia="Arial Unicode MS" w:hAnsi="Arial" w:cs="Arial"/>
          <w:spacing w:val="-3"/>
          <w:sz w:val="22"/>
          <w:szCs w:val="22"/>
        </w:rPr>
        <w:t xml:space="preserve">gain on </w:t>
      </w:r>
      <w:r w:rsidRPr="00F636EF">
        <w:rPr>
          <w:rFonts w:ascii="Arial" w:eastAsia="Arial Unicode MS" w:hAnsi="Arial" w:cs="Arial"/>
          <w:spacing w:val="-3"/>
          <w:sz w:val="22"/>
          <w:szCs w:val="22"/>
        </w:rPr>
        <w:t>bargain purchase of THB 8,612 million from this acquisition. I focused on this business combination due to its material impact on the consolidated financial statements and the significant judgment exercised by management in determining the fair values of the identifiable assets acquired and the liabilities assumed. Such judgment introduces risks in the recognition and measurement of these assets and liabilities, as well as in the recognition of the</w:t>
      </w:r>
      <w:r w:rsidR="00595655" w:rsidRPr="00F636EF">
        <w:rPr>
          <w:rFonts w:ascii="Arial" w:eastAsia="Arial Unicode MS" w:hAnsi="Arial" w:cs="Arial"/>
          <w:spacing w:val="-3"/>
          <w:sz w:val="22"/>
          <w:szCs w:val="22"/>
        </w:rPr>
        <w:t xml:space="preserve"> gain on</w:t>
      </w:r>
      <w:r w:rsidRPr="00F636EF">
        <w:rPr>
          <w:rFonts w:ascii="Arial" w:eastAsia="Arial Unicode MS" w:hAnsi="Arial" w:cs="Arial"/>
          <w:spacing w:val="-3"/>
          <w:sz w:val="22"/>
          <w:szCs w:val="22"/>
        </w:rPr>
        <w:t xml:space="preserve"> bargain purchase.</w:t>
      </w:r>
    </w:p>
    <w:p w14:paraId="4D8738DA" w14:textId="692AE94A" w:rsidR="0083783B" w:rsidRPr="00F636EF" w:rsidRDefault="0083783B" w:rsidP="002903B7">
      <w:pPr>
        <w:overflowPunct/>
        <w:autoSpaceDE/>
        <w:autoSpaceDN/>
        <w:adjustRightInd/>
        <w:spacing w:before="120" w:after="120" w:line="380" w:lineRule="exact"/>
        <w:textAlignment w:val="auto"/>
        <w:rPr>
          <w:rFonts w:ascii="Arial" w:eastAsia="Arial Unicode MS" w:hAnsi="Arial" w:cs="Arial"/>
          <w:spacing w:val="-3"/>
          <w:sz w:val="22"/>
          <w:szCs w:val="22"/>
        </w:rPr>
      </w:pPr>
      <w:r w:rsidRPr="00F636EF">
        <w:rPr>
          <w:rFonts w:ascii="Arial" w:eastAsia="Arial Unicode MS" w:hAnsi="Arial" w:cs="Arial"/>
          <w:spacing w:val="-3"/>
          <w:sz w:val="22"/>
          <w:szCs w:val="22"/>
        </w:rPr>
        <w:t>I assessed the fair values of the identifiable assets acquired and liabilities assumed as detailed in the purchase price allocation report prepared by an independent appraiser. This assessment involved evaluating the method and key assumptions applied by the appraiser, testing the calculations, and considering the appraiser’s qualifications, expertise, and independence. Additionally, I reviewed the disclosures related to the business combination in the notes to the financial statements.</w:t>
      </w:r>
    </w:p>
    <w:p w14:paraId="7051414F" w14:textId="0F3DC600" w:rsidR="00556767" w:rsidRPr="008C64FA" w:rsidRDefault="00556767" w:rsidP="002903B7">
      <w:pPr>
        <w:overflowPunct/>
        <w:autoSpaceDE/>
        <w:autoSpaceDN/>
        <w:adjustRightInd/>
        <w:spacing w:before="240" w:after="120" w:line="380" w:lineRule="exact"/>
        <w:textAlignment w:val="auto"/>
        <w:rPr>
          <w:rFonts w:ascii="Arial" w:hAnsi="Arial" w:cs="Arial"/>
          <w:b/>
          <w:bCs/>
          <w:color w:val="000000"/>
          <w:spacing w:val="-4"/>
          <w:sz w:val="22"/>
          <w:szCs w:val="22"/>
        </w:rPr>
      </w:pPr>
      <w:r w:rsidRPr="008C64FA">
        <w:rPr>
          <w:rFonts w:ascii="Arial" w:hAnsi="Arial" w:cs="Arial"/>
          <w:b/>
          <w:bCs/>
          <w:color w:val="000000"/>
          <w:spacing w:val="-4"/>
          <w:sz w:val="22"/>
          <w:szCs w:val="22"/>
        </w:rPr>
        <w:t>Other Information</w:t>
      </w:r>
    </w:p>
    <w:p w14:paraId="784374CC" w14:textId="14EF94DD" w:rsidR="00174371" w:rsidRPr="008C64FA" w:rsidRDefault="00174371" w:rsidP="002903B7">
      <w:pPr>
        <w:overflowPunct/>
        <w:autoSpaceDE/>
        <w:autoSpaceDN/>
        <w:adjustRightInd/>
        <w:spacing w:before="120" w:after="120" w:line="380" w:lineRule="exact"/>
        <w:textAlignment w:val="auto"/>
        <w:rPr>
          <w:rFonts w:ascii="Arial" w:hAnsi="Arial" w:cs="Arial"/>
          <w:color w:val="000000"/>
          <w:sz w:val="22"/>
          <w:szCs w:val="22"/>
        </w:rPr>
      </w:pPr>
      <w:r w:rsidRPr="008C64FA">
        <w:rPr>
          <w:rFonts w:ascii="Arial" w:hAnsi="Arial" w:cs="Arial"/>
          <w:color w:val="000000"/>
          <w:sz w:val="22"/>
          <w:szCs w:val="22"/>
        </w:rPr>
        <w:t>Management is responsible for the other information. The other information comprise the information included in annual report of the Group,</w:t>
      </w:r>
      <w:r w:rsidR="00EF481C">
        <w:rPr>
          <w:rFonts w:ascii="Arial" w:hAnsi="Arial" w:cs="Arial"/>
          <w:color w:val="000000"/>
          <w:sz w:val="22"/>
          <w:szCs w:val="22"/>
        </w:rPr>
        <w:t xml:space="preserve"> </w:t>
      </w:r>
      <w:r w:rsidRPr="008C64FA">
        <w:rPr>
          <w:rFonts w:ascii="Arial" w:hAnsi="Arial" w:cs="Arial"/>
          <w:color w:val="000000"/>
          <w:sz w:val="22"/>
          <w:szCs w:val="22"/>
        </w:rPr>
        <w:t>but does not include the financial statements and my auditor’s report thereon. The annual report of the Group is expected to be made available to me after the date of this auditor’s report.</w:t>
      </w:r>
    </w:p>
    <w:p w14:paraId="4EE4B51D" w14:textId="77777777" w:rsidR="00174371" w:rsidRPr="008C64FA" w:rsidRDefault="00174371" w:rsidP="002903B7">
      <w:pPr>
        <w:overflowPunct/>
        <w:autoSpaceDE/>
        <w:autoSpaceDN/>
        <w:adjustRightInd/>
        <w:spacing w:before="120" w:after="120" w:line="380" w:lineRule="exact"/>
        <w:textAlignment w:val="auto"/>
        <w:rPr>
          <w:rFonts w:ascii="Arial" w:hAnsi="Arial" w:cs="Arial"/>
          <w:color w:val="000000"/>
          <w:sz w:val="22"/>
          <w:szCs w:val="22"/>
        </w:rPr>
      </w:pPr>
      <w:r w:rsidRPr="008C64FA">
        <w:rPr>
          <w:rFonts w:ascii="Arial" w:hAnsi="Arial" w:cs="Arial"/>
          <w:color w:val="000000"/>
          <w:sz w:val="22"/>
          <w:szCs w:val="22"/>
        </w:rPr>
        <w:t>My opinion on the financial statements does not cover the other information and I do not express any form of assurance conclusion thereon.</w:t>
      </w:r>
    </w:p>
    <w:p w14:paraId="3704EEE1" w14:textId="77777777" w:rsidR="00174371" w:rsidRPr="008C64FA" w:rsidRDefault="00174371" w:rsidP="002903B7">
      <w:pPr>
        <w:overflowPunct/>
        <w:autoSpaceDE/>
        <w:autoSpaceDN/>
        <w:adjustRightInd/>
        <w:spacing w:before="120" w:after="120" w:line="380" w:lineRule="exact"/>
        <w:textAlignment w:val="auto"/>
        <w:rPr>
          <w:rFonts w:ascii="Arial" w:hAnsi="Arial" w:cs="Arial"/>
          <w:color w:val="000000"/>
          <w:sz w:val="22"/>
          <w:szCs w:val="22"/>
        </w:rPr>
      </w:pPr>
      <w:r w:rsidRPr="008C64FA">
        <w:rPr>
          <w:rFonts w:ascii="Arial" w:hAnsi="Arial" w:cs="Arial"/>
          <w:color w:val="000000"/>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5B4BCBBB" w14:textId="2180BA1E" w:rsidR="002903B7" w:rsidRDefault="00174371" w:rsidP="002903B7">
      <w:pPr>
        <w:overflowPunct/>
        <w:autoSpaceDE/>
        <w:autoSpaceDN/>
        <w:adjustRightInd/>
        <w:spacing w:before="120" w:after="120" w:line="380" w:lineRule="exact"/>
        <w:textAlignment w:val="auto"/>
        <w:rPr>
          <w:rFonts w:ascii="Arial" w:hAnsi="Arial" w:cs="Arial"/>
          <w:color w:val="000000"/>
          <w:sz w:val="22"/>
          <w:szCs w:val="22"/>
        </w:rPr>
      </w:pPr>
      <w:r w:rsidRPr="008C64FA">
        <w:rPr>
          <w:rFonts w:ascii="Arial" w:hAnsi="Arial" w:cs="Arial"/>
          <w:color w:val="000000"/>
          <w:sz w:val="22"/>
          <w:szCs w:val="22"/>
        </w:rPr>
        <w:t>When I read the annual report of the Group, if I conclude that there is a material misstatement therein, I am required to communicate the matter to those charged with governance for correction of the misstatement.</w:t>
      </w:r>
    </w:p>
    <w:p w14:paraId="6270DBE6" w14:textId="77777777" w:rsidR="002903B7" w:rsidRDefault="002903B7">
      <w:pPr>
        <w:overflowPunct/>
        <w:autoSpaceDE/>
        <w:autoSpaceDN/>
        <w:adjustRightInd/>
        <w:spacing w:after="200" w:line="276" w:lineRule="auto"/>
        <w:textAlignment w:val="auto"/>
        <w:rPr>
          <w:rFonts w:ascii="Arial" w:hAnsi="Arial" w:cs="Arial"/>
          <w:color w:val="000000"/>
          <w:sz w:val="22"/>
          <w:szCs w:val="22"/>
        </w:rPr>
      </w:pPr>
      <w:r>
        <w:rPr>
          <w:rFonts w:ascii="Arial" w:hAnsi="Arial" w:cs="Arial"/>
          <w:color w:val="000000"/>
          <w:sz w:val="22"/>
          <w:szCs w:val="22"/>
        </w:rPr>
        <w:br w:type="page"/>
      </w:r>
    </w:p>
    <w:p w14:paraId="4C84B1CF" w14:textId="77777777" w:rsidR="00556767" w:rsidRPr="008C64FA" w:rsidRDefault="00556767" w:rsidP="002903B7">
      <w:pPr>
        <w:overflowPunct/>
        <w:autoSpaceDE/>
        <w:autoSpaceDN/>
        <w:adjustRightInd/>
        <w:spacing w:before="240" w:after="120" w:line="380" w:lineRule="exact"/>
        <w:textAlignment w:val="auto"/>
        <w:rPr>
          <w:rFonts w:ascii="Arial" w:hAnsi="Arial" w:cs="Arial"/>
          <w:color w:val="000000"/>
          <w:sz w:val="22"/>
          <w:szCs w:val="22"/>
        </w:rPr>
      </w:pPr>
      <w:r w:rsidRPr="008C64FA">
        <w:rPr>
          <w:rFonts w:ascii="Arial" w:hAnsi="Arial" w:cs="Arial"/>
          <w:b/>
          <w:bCs/>
          <w:color w:val="000000"/>
          <w:spacing w:val="-4"/>
          <w:sz w:val="22"/>
          <w:szCs w:val="22"/>
        </w:rPr>
        <w:lastRenderedPageBreak/>
        <w:t>Responsibilities of Management and Those Charged with Governance for the Financial Statements</w:t>
      </w:r>
    </w:p>
    <w:p w14:paraId="19A63050" w14:textId="77777777" w:rsidR="00BE437C" w:rsidRPr="008C64FA" w:rsidRDefault="00556767" w:rsidP="002903B7">
      <w:pPr>
        <w:overflowPunct/>
        <w:autoSpaceDE/>
        <w:autoSpaceDN/>
        <w:adjustRightInd/>
        <w:spacing w:before="120" w:after="120" w:line="380" w:lineRule="exact"/>
        <w:textAlignment w:val="auto"/>
        <w:rPr>
          <w:rFonts w:ascii="Arial" w:hAnsi="Arial" w:cs="Arial"/>
          <w:color w:val="000000"/>
          <w:sz w:val="22"/>
          <w:szCs w:val="22"/>
        </w:rPr>
      </w:pPr>
      <w:r w:rsidRPr="008C64FA">
        <w:rPr>
          <w:rFonts w:ascii="Arial" w:hAnsi="Arial" w:cs="Arial"/>
          <w:color w:val="000000"/>
          <w:sz w:val="22"/>
          <w:szCs w:val="22"/>
        </w:rPr>
        <w:t xml:space="preserve">Management is responsible for the preparation and fair presentation of the financial statements in accordance with </w:t>
      </w:r>
      <w:r w:rsidRPr="008C64FA">
        <w:rPr>
          <w:rFonts w:ascii="Arial" w:hAnsi="Arial" w:cs="Arial"/>
          <w:sz w:val="22"/>
          <w:szCs w:val="22"/>
        </w:rPr>
        <w:t>Thai Financial Reporting Standards</w:t>
      </w:r>
      <w:r w:rsidRPr="008C64FA">
        <w:rPr>
          <w:rFonts w:ascii="Arial" w:hAnsi="Arial" w:cs="Arial"/>
          <w:color w:val="000000"/>
          <w:sz w:val="22"/>
          <w:szCs w:val="22"/>
        </w:rPr>
        <w:t>, and for such internal control as management determines is necessary to enable the preparation of financial statements that are free from material misstatement, whether due to fraud or error.</w:t>
      </w:r>
    </w:p>
    <w:p w14:paraId="179825F0" w14:textId="77777777" w:rsidR="00556767" w:rsidRPr="008C64FA" w:rsidRDefault="00556767" w:rsidP="002903B7">
      <w:pPr>
        <w:overflowPunct/>
        <w:autoSpaceDE/>
        <w:autoSpaceDN/>
        <w:adjustRightInd/>
        <w:spacing w:before="120" w:after="120" w:line="380" w:lineRule="exact"/>
        <w:textAlignment w:val="auto"/>
        <w:rPr>
          <w:rFonts w:ascii="Arial" w:hAnsi="Arial" w:cs="Arial"/>
          <w:color w:val="000000"/>
          <w:sz w:val="22"/>
          <w:szCs w:val="22"/>
        </w:rPr>
      </w:pPr>
      <w:r w:rsidRPr="008C64FA">
        <w:rPr>
          <w:rFonts w:ascii="Arial" w:hAnsi="Arial" w:cs="Arial"/>
          <w:color w:val="000000"/>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290FC35B" w14:textId="5A235CAA" w:rsidR="00762F59" w:rsidRPr="00A8170E" w:rsidRDefault="00556767" w:rsidP="002903B7">
      <w:pPr>
        <w:overflowPunct/>
        <w:autoSpaceDE/>
        <w:autoSpaceDN/>
        <w:adjustRightInd/>
        <w:spacing w:before="120" w:after="120" w:line="380" w:lineRule="exact"/>
        <w:textAlignment w:val="auto"/>
        <w:rPr>
          <w:rFonts w:ascii="Arial" w:hAnsi="Arial" w:cstheme="minorBidi"/>
          <w:b/>
          <w:bCs/>
          <w:color w:val="000000"/>
          <w:spacing w:val="-4"/>
          <w:sz w:val="22"/>
          <w:szCs w:val="22"/>
          <w:cs/>
        </w:rPr>
      </w:pPr>
      <w:r w:rsidRPr="008C64FA">
        <w:rPr>
          <w:rFonts w:ascii="Arial" w:hAnsi="Arial" w:cs="Arial"/>
          <w:color w:val="000000"/>
          <w:sz w:val="22"/>
          <w:szCs w:val="22"/>
        </w:rPr>
        <w:t xml:space="preserve">Those charged with governance are responsible for overseeing the Group’s financial reporting process. </w:t>
      </w:r>
    </w:p>
    <w:p w14:paraId="5CC63CE5" w14:textId="05A39592" w:rsidR="00556767" w:rsidRPr="008C64FA" w:rsidRDefault="00556767" w:rsidP="002903B7">
      <w:pPr>
        <w:overflowPunct/>
        <w:autoSpaceDE/>
        <w:autoSpaceDN/>
        <w:adjustRightInd/>
        <w:spacing w:before="240" w:after="120" w:line="380" w:lineRule="exact"/>
        <w:textAlignment w:val="auto"/>
        <w:rPr>
          <w:rFonts w:ascii="Arial" w:hAnsi="Arial" w:cs="Arial"/>
          <w:b/>
          <w:bCs/>
          <w:color w:val="000000"/>
          <w:spacing w:val="-4"/>
          <w:sz w:val="22"/>
          <w:szCs w:val="22"/>
        </w:rPr>
      </w:pPr>
      <w:r w:rsidRPr="008C64FA">
        <w:rPr>
          <w:rFonts w:ascii="Arial" w:hAnsi="Arial" w:cs="Arial"/>
          <w:b/>
          <w:bCs/>
          <w:color w:val="000000"/>
          <w:spacing w:val="-4"/>
          <w:sz w:val="22"/>
          <w:szCs w:val="22"/>
        </w:rPr>
        <w:t>Auditor’s Responsibilities for the Audit of the Financial Statements</w:t>
      </w:r>
    </w:p>
    <w:p w14:paraId="3C1AF7EE" w14:textId="77777777" w:rsidR="00556767" w:rsidRPr="008C64FA" w:rsidRDefault="00556767" w:rsidP="002903B7">
      <w:pPr>
        <w:overflowPunct/>
        <w:autoSpaceDE/>
        <w:autoSpaceDN/>
        <w:adjustRightInd/>
        <w:spacing w:before="120" w:after="120" w:line="380" w:lineRule="exact"/>
        <w:textAlignment w:val="auto"/>
        <w:rPr>
          <w:rFonts w:ascii="Arial" w:hAnsi="Arial" w:cs="Arial"/>
          <w:i/>
          <w:iCs/>
          <w:color w:val="548DD4" w:themeColor="text2" w:themeTint="99"/>
          <w:sz w:val="22"/>
          <w:szCs w:val="22"/>
        </w:rPr>
      </w:pPr>
      <w:r w:rsidRPr="008C64FA">
        <w:rPr>
          <w:rFonts w:ascii="Arial" w:hAnsi="Arial" w:cs="Arial"/>
          <w:color w:val="000000"/>
          <w:spacing w:val="-2"/>
          <w:sz w:val="22"/>
          <w:szCs w:val="22"/>
        </w:rPr>
        <w:t xml:space="preserve">My objectives are to obtain reasonable assurance about whether the financial statements as </w:t>
      </w:r>
      <w:r w:rsidR="007B2A4E" w:rsidRPr="008C64FA">
        <w:rPr>
          <w:rFonts w:ascii="Arial" w:hAnsi="Arial" w:cs="Arial"/>
          <w:color w:val="000000"/>
          <w:spacing w:val="-2"/>
          <w:sz w:val="22"/>
          <w:szCs w:val="22"/>
        </w:rPr>
        <w:br/>
      </w:r>
      <w:r w:rsidRPr="008C64FA">
        <w:rPr>
          <w:rFonts w:ascii="Arial" w:hAnsi="Arial" w:cs="Arial"/>
          <w:color w:val="000000"/>
          <w:spacing w:val="-2"/>
          <w:sz w:val="22"/>
          <w:szCs w:val="22"/>
        </w:rPr>
        <w:t xml:space="preserve">a whole are free from material misstatement, whether due to fraud or error, and to issue </w:t>
      </w:r>
      <w:r w:rsidR="007B2A4E" w:rsidRPr="008C64FA">
        <w:rPr>
          <w:rFonts w:ascii="Arial" w:hAnsi="Arial" w:cs="Arial"/>
          <w:color w:val="000000"/>
          <w:spacing w:val="-2"/>
          <w:sz w:val="22"/>
          <w:szCs w:val="22"/>
        </w:rPr>
        <w:br/>
      </w:r>
      <w:r w:rsidRPr="008C64FA">
        <w:rPr>
          <w:rFonts w:ascii="Arial" w:hAnsi="Arial" w:cs="Arial"/>
          <w:color w:val="000000"/>
          <w:spacing w:val="-2"/>
          <w:sz w:val="22"/>
          <w:szCs w:val="22"/>
        </w:rPr>
        <w:t>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r w:rsidRPr="008C64FA">
        <w:rPr>
          <w:rFonts w:ascii="Arial" w:hAnsi="Arial" w:cs="Arial"/>
          <w:color w:val="000000"/>
          <w:sz w:val="22"/>
          <w:szCs w:val="22"/>
        </w:rPr>
        <w:t xml:space="preserve">. </w:t>
      </w:r>
    </w:p>
    <w:p w14:paraId="71A63E06" w14:textId="77777777" w:rsidR="00556767" w:rsidRPr="008C64FA" w:rsidRDefault="00556767" w:rsidP="002903B7">
      <w:pPr>
        <w:overflowPunct/>
        <w:autoSpaceDE/>
        <w:autoSpaceDN/>
        <w:adjustRightInd/>
        <w:spacing w:before="120" w:after="120" w:line="380" w:lineRule="exact"/>
        <w:textAlignment w:val="auto"/>
        <w:rPr>
          <w:rFonts w:ascii="Arial" w:hAnsi="Arial" w:cs="Arial"/>
          <w:color w:val="000000"/>
          <w:sz w:val="22"/>
          <w:szCs w:val="22"/>
        </w:rPr>
      </w:pPr>
      <w:r w:rsidRPr="008C64FA">
        <w:rPr>
          <w:rFonts w:ascii="Arial" w:hAnsi="Arial" w:cs="Arial"/>
          <w:color w:val="000000"/>
          <w:sz w:val="22"/>
          <w:szCs w:val="22"/>
        </w:rPr>
        <w:t>As part of an audit in accordance with Thai Standards on Auditing, I exercise professional judgement and maintain professional skepticism throughout the audit. I also:</w:t>
      </w:r>
    </w:p>
    <w:p w14:paraId="11A660D9" w14:textId="77777777" w:rsidR="00556767" w:rsidRPr="008C64FA" w:rsidRDefault="00556767" w:rsidP="002903B7">
      <w:pPr>
        <w:numPr>
          <w:ilvl w:val="0"/>
          <w:numId w:val="1"/>
        </w:numPr>
        <w:overflowPunct/>
        <w:autoSpaceDE/>
        <w:autoSpaceDN/>
        <w:adjustRightInd/>
        <w:spacing w:before="120" w:after="120" w:line="380" w:lineRule="exact"/>
        <w:ind w:left="360"/>
        <w:textAlignment w:val="auto"/>
        <w:rPr>
          <w:rFonts w:ascii="Arial" w:hAnsi="Arial" w:cs="Arial"/>
          <w:color w:val="000000"/>
          <w:sz w:val="22"/>
          <w:szCs w:val="22"/>
        </w:rPr>
      </w:pPr>
      <w:r w:rsidRPr="008C64FA">
        <w:rPr>
          <w:rFonts w:ascii="Arial" w:hAnsi="Arial" w:cs="Arial"/>
          <w:color w:val="000000"/>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w:t>
      </w:r>
      <w:r w:rsidR="00435AF3" w:rsidRPr="008C64FA">
        <w:rPr>
          <w:rFonts w:ascii="Arial" w:hAnsi="Arial" w:cs="Arial"/>
          <w:color w:val="000000"/>
          <w:sz w:val="22"/>
          <w:szCs w:val="22"/>
        </w:rPr>
        <w:t xml:space="preserve">                                       </w:t>
      </w:r>
      <w:r w:rsidRPr="008C64FA">
        <w:rPr>
          <w:rFonts w:ascii="Arial" w:hAnsi="Arial" w:cs="Arial"/>
          <w:color w:val="000000"/>
          <w:sz w:val="22"/>
          <w:szCs w:val="22"/>
        </w:rPr>
        <w:t xml:space="preserve">The risk of not detecting a material misstatement resulting from fraud is higher than for one resulting from error, as fraud may involve collusion, forgery, intentional omissions, misrepresentations, or the override of internal control. </w:t>
      </w:r>
    </w:p>
    <w:p w14:paraId="07577DEC" w14:textId="77777777" w:rsidR="002903B7" w:rsidRDefault="002903B7">
      <w:pPr>
        <w:overflowPunct/>
        <w:autoSpaceDE/>
        <w:autoSpaceDN/>
        <w:adjustRightInd/>
        <w:spacing w:after="200" w:line="276" w:lineRule="auto"/>
        <w:textAlignment w:val="auto"/>
        <w:rPr>
          <w:rFonts w:ascii="Arial" w:hAnsi="Arial" w:cs="Arial"/>
          <w:color w:val="000000"/>
          <w:sz w:val="22"/>
          <w:szCs w:val="22"/>
        </w:rPr>
      </w:pPr>
      <w:r>
        <w:rPr>
          <w:rFonts w:ascii="Arial" w:hAnsi="Arial" w:cs="Arial"/>
          <w:color w:val="000000"/>
          <w:sz w:val="22"/>
          <w:szCs w:val="22"/>
        </w:rPr>
        <w:br w:type="page"/>
      </w:r>
    </w:p>
    <w:p w14:paraId="36DE1144" w14:textId="1EB0FFF1" w:rsidR="00556767" w:rsidRPr="008C64FA" w:rsidRDefault="00556767" w:rsidP="002903B7">
      <w:pPr>
        <w:numPr>
          <w:ilvl w:val="0"/>
          <w:numId w:val="1"/>
        </w:numPr>
        <w:overflowPunct/>
        <w:autoSpaceDE/>
        <w:autoSpaceDN/>
        <w:adjustRightInd/>
        <w:spacing w:before="120" w:after="120" w:line="380" w:lineRule="exact"/>
        <w:ind w:left="360"/>
        <w:textAlignment w:val="auto"/>
        <w:rPr>
          <w:rFonts w:ascii="Arial" w:hAnsi="Arial" w:cs="Arial"/>
          <w:color w:val="000000"/>
          <w:sz w:val="22"/>
          <w:szCs w:val="22"/>
        </w:rPr>
      </w:pPr>
      <w:r w:rsidRPr="008C64FA">
        <w:rPr>
          <w:rFonts w:ascii="Arial" w:hAnsi="Arial" w:cs="Arial"/>
          <w:color w:val="000000"/>
          <w:sz w:val="22"/>
          <w:szCs w:val="22"/>
        </w:rPr>
        <w:lastRenderedPageBreak/>
        <w:t>Obtain an understanding of internal control relevant to the audit in order to design audit procedures that are appropriate in the circumstances, but not for the purpose of expressing an opinion on the effectiveness of the Group’s internal control.</w:t>
      </w:r>
    </w:p>
    <w:p w14:paraId="00492C88" w14:textId="0A2731E6" w:rsidR="00596BEA" w:rsidRPr="008C64FA" w:rsidRDefault="00556767" w:rsidP="002903B7">
      <w:pPr>
        <w:numPr>
          <w:ilvl w:val="0"/>
          <w:numId w:val="1"/>
        </w:numPr>
        <w:overflowPunct/>
        <w:autoSpaceDE/>
        <w:autoSpaceDN/>
        <w:adjustRightInd/>
        <w:spacing w:before="120" w:after="120" w:line="380" w:lineRule="exact"/>
        <w:ind w:left="360"/>
        <w:textAlignment w:val="auto"/>
        <w:rPr>
          <w:rFonts w:ascii="Arial" w:hAnsi="Arial" w:cs="Arial"/>
          <w:color w:val="000000"/>
          <w:sz w:val="22"/>
          <w:szCs w:val="22"/>
        </w:rPr>
      </w:pPr>
      <w:r w:rsidRPr="008C64FA">
        <w:rPr>
          <w:rFonts w:ascii="Arial" w:hAnsi="Arial" w:cs="Arial"/>
          <w:color w:val="000000"/>
          <w:sz w:val="22"/>
          <w:szCs w:val="22"/>
        </w:rPr>
        <w:t>Evaluate the appropriateness of accounting policies used and the reasonableness of accounting estimates and related disclosures made by management.</w:t>
      </w:r>
    </w:p>
    <w:p w14:paraId="123E142F" w14:textId="77777777" w:rsidR="00556767" w:rsidRPr="008C64FA" w:rsidRDefault="00556767" w:rsidP="002903B7">
      <w:pPr>
        <w:numPr>
          <w:ilvl w:val="0"/>
          <w:numId w:val="1"/>
        </w:numPr>
        <w:overflowPunct/>
        <w:autoSpaceDE/>
        <w:autoSpaceDN/>
        <w:adjustRightInd/>
        <w:spacing w:before="120" w:after="120" w:line="380" w:lineRule="exact"/>
        <w:ind w:left="360"/>
        <w:textAlignment w:val="auto"/>
        <w:rPr>
          <w:rFonts w:ascii="Arial" w:hAnsi="Arial" w:cs="Arial"/>
          <w:color w:val="000000"/>
          <w:sz w:val="22"/>
          <w:szCs w:val="22"/>
        </w:rPr>
      </w:pPr>
      <w:r w:rsidRPr="008C64FA">
        <w:rPr>
          <w:rFonts w:ascii="Arial" w:hAnsi="Arial" w:cs="Arial"/>
          <w:color w:val="000000"/>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w:t>
      </w:r>
      <w:r w:rsidR="006961CA" w:rsidRPr="008C64FA">
        <w:rPr>
          <w:rFonts w:ascii="Arial" w:hAnsi="Arial" w:cs="Arial"/>
          <w:color w:val="000000"/>
          <w:sz w:val="22"/>
          <w:szCs w:val="22"/>
        </w:rPr>
        <w:t xml:space="preserve">              </w:t>
      </w:r>
      <w:r w:rsidRPr="008C64FA">
        <w:rPr>
          <w:rFonts w:ascii="Arial" w:hAnsi="Arial" w:cs="Arial"/>
          <w:color w:val="000000"/>
          <w:sz w:val="22"/>
          <w:szCs w:val="22"/>
        </w:rPr>
        <w:t xml:space="preserve"> if such disclosures are inadequate, to modify my opinion. My conclusions are based on the audit evidence obtained up to the date of my auditor’s report. However, future events or conditions may cause the Group to cease to continue as a going concern.</w:t>
      </w:r>
    </w:p>
    <w:p w14:paraId="7298FA15" w14:textId="77777777" w:rsidR="00556767" w:rsidRPr="008C64FA" w:rsidRDefault="00556767" w:rsidP="002903B7">
      <w:pPr>
        <w:numPr>
          <w:ilvl w:val="0"/>
          <w:numId w:val="1"/>
        </w:numPr>
        <w:overflowPunct/>
        <w:autoSpaceDE/>
        <w:autoSpaceDN/>
        <w:adjustRightInd/>
        <w:spacing w:before="120" w:after="120" w:line="380" w:lineRule="exact"/>
        <w:ind w:left="360"/>
        <w:textAlignment w:val="auto"/>
        <w:rPr>
          <w:rFonts w:ascii="Arial" w:hAnsi="Arial" w:cs="Arial"/>
          <w:color w:val="000000"/>
          <w:sz w:val="22"/>
          <w:szCs w:val="22"/>
        </w:rPr>
      </w:pPr>
      <w:r w:rsidRPr="008C64FA">
        <w:rPr>
          <w:rFonts w:ascii="Arial" w:hAnsi="Arial" w:cs="Arial"/>
          <w:color w:val="000000"/>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77D7E554" w14:textId="77777777" w:rsidR="00473BC0" w:rsidRPr="007C0AE5" w:rsidRDefault="00473BC0" w:rsidP="002903B7">
      <w:pPr>
        <w:pStyle w:val="ps-000-normal"/>
        <w:numPr>
          <w:ilvl w:val="0"/>
          <w:numId w:val="1"/>
        </w:numPr>
        <w:spacing w:line="380" w:lineRule="exact"/>
        <w:ind w:left="360"/>
        <w:rPr>
          <w:rFonts w:ascii="Arial" w:hAnsi="Arial" w:cs="Arial"/>
          <w:color w:val="000000" w:themeColor="text1"/>
          <w:sz w:val="22"/>
          <w:szCs w:val="22"/>
        </w:rPr>
      </w:pPr>
      <w:bookmarkStart w:id="0" w:name="_Hlk221899190"/>
      <w:r w:rsidRPr="007C0AE5">
        <w:rPr>
          <w:rFonts w:ascii="Arial" w:hAnsi="Arial" w:cs="Arial"/>
          <w:color w:val="000000" w:themeColor="text1"/>
          <w:sz w:val="22"/>
          <w:szCs w:val="22"/>
        </w:rPr>
        <w:t>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the purposes of the group audit. I remain solely responsible for my audit opinion.</w:t>
      </w:r>
    </w:p>
    <w:bookmarkEnd w:id="0"/>
    <w:p w14:paraId="441F1828" w14:textId="77777777" w:rsidR="00556767" w:rsidRPr="008C64FA" w:rsidRDefault="00556767" w:rsidP="002903B7">
      <w:pPr>
        <w:overflowPunct/>
        <w:autoSpaceDE/>
        <w:autoSpaceDN/>
        <w:adjustRightInd/>
        <w:spacing w:before="120" w:after="120" w:line="380" w:lineRule="exact"/>
        <w:textAlignment w:val="auto"/>
        <w:rPr>
          <w:rFonts w:ascii="Arial" w:hAnsi="Arial" w:cs="Arial"/>
          <w:color w:val="000000"/>
          <w:sz w:val="22"/>
          <w:szCs w:val="22"/>
        </w:rPr>
      </w:pPr>
      <w:r w:rsidRPr="008C64FA">
        <w:rPr>
          <w:rFonts w:ascii="Arial" w:hAnsi="Arial" w:cs="Arial"/>
          <w:color w:val="000000"/>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77EE9204" w14:textId="77777777" w:rsidR="00556767" w:rsidRPr="008C64FA" w:rsidRDefault="00556767" w:rsidP="002903B7">
      <w:pPr>
        <w:overflowPunct/>
        <w:autoSpaceDE/>
        <w:autoSpaceDN/>
        <w:adjustRightInd/>
        <w:spacing w:before="120" w:after="120" w:line="380" w:lineRule="exact"/>
        <w:textAlignment w:val="auto"/>
        <w:rPr>
          <w:rFonts w:ascii="Arial" w:hAnsi="Arial" w:cs="Arial"/>
          <w:color w:val="000000"/>
          <w:sz w:val="22"/>
          <w:szCs w:val="22"/>
        </w:rPr>
      </w:pPr>
      <w:r w:rsidRPr="008C64FA">
        <w:rPr>
          <w:rFonts w:ascii="Arial" w:hAnsi="Arial" w:cs="Arial"/>
          <w:color w:val="000000"/>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AAF6AF0" w14:textId="77777777" w:rsidR="002903B7" w:rsidRDefault="002903B7">
      <w:pPr>
        <w:overflowPunct/>
        <w:autoSpaceDE/>
        <w:autoSpaceDN/>
        <w:adjustRightInd/>
        <w:spacing w:after="200" w:line="276" w:lineRule="auto"/>
        <w:textAlignment w:val="auto"/>
        <w:rPr>
          <w:rFonts w:ascii="Arial" w:hAnsi="Arial" w:cs="Arial"/>
          <w:color w:val="000000"/>
          <w:sz w:val="22"/>
          <w:szCs w:val="22"/>
        </w:rPr>
      </w:pPr>
      <w:r>
        <w:rPr>
          <w:rFonts w:ascii="Arial" w:hAnsi="Arial" w:cs="Arial"/>
          <w:color w:val="000000"/>
          <w:sz w:val="22"/>
          <w:szCs w:val="22"/>
        </w:rPr>
        <w:br w:type="page"/>
      </w:r>
    </w:p>
    <w:p w14:paraId="16649B57" w14:textId="42867125" w:rsidR="00556767" w:rsidRDefault="00556767" w:rsidP="002903B7">
      <w:pPr>
        <w:overflowPunct/>
        <w:autoSpaceDE/>
        <w:autoSpaceDN/>
        <w:adjustRightInd/>
        <w:spacing w:before="120" w:after="120" w:line="380" w:lineRule="exact"/>
        <w:textAlignment w:val="auto"/>
        <w:rPr>
          <w:rFonts w:ascii="Arial" w:hAnsi="Arial" w:cs="Arial"/>
          <w:color w:val="000000"/>
          <w:sz w:val="22"/>
          <w:szCs w:val="22"/>
        </w:rPr>
      </w:pPr>
      <w:r w:rsidRPr="008C64FA">
        <w:rPr>
          <w:rFonts w:ascii="Arial" w:hAnsi="Arial" w:cs="Arial"/>
          <w:color w:val="000000"/>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CA8240F" w14:textId="293DE03C" w:rsidR="00174371" w:rsidRPr="008C64FA" w:rsidRDefault="00A914E9" w:rsidP="002903B7">
      <w:pPr>
        <w:overflowPunct/>
        <w:autoSpaceDE/>
        <w:autoSpaceDN/>
        <w:adjustRightInd/>
        <w:spacing w:before="240" w:after="120" w:line="380" w:lineRule="exact"/>
        <w:textAlignment w:val="auto"/>
        <w:rPr>
          <w:rFonts w:ascii="Arial" w:hAnsi="Arial" w:cs="Arial"/>
          <w:color w:val="000000"/>
          <w:sz w:val="22"/>
          <w:szCs w:val="22"/>
        </w:rPr>
      </w:pPr>
      <w:r w:rsidRPr="008C64FA">
        <w:rPr>
          <w:rFonts w:ascii="Arial" w:hAnsi="Arial" w:cs="Arial"/>
          <w:color w:val="000000"/>
          <w:sz w:val="22"/>
          <w:szCs w:val="22"/>
        </w:rPr>
        <w:t>I am responsible for the audit resulting in this independent auditor’s report.</w:t>
      </w:r>
    </w:p>
    <w:p w14:paraId="20B1159A" w14:textId="77777777" w:rsidR="000A0CA6" w:rsidRPr="005572DD" w:rsidRDefault="000A0CA6" w:rsidP="002903B7">
      <w:pPr>
        <w:pStyle w:val="ps-000-normal"/>
        <w:spacing w:before="1440" w:after="0" w:line="380" w:lineRule="exact"/>
        <w:rPr>
          <w:rFonts w:ascii="Arial" w:hAnsi="Arial" w:cs="Arial"/>
          <w:sz w:val="22"/>
          <w:szCs w:val="22"/>
        </w:rPr>
      </w:pPr>
      <w:r w:rsidRPr="005572DD">
        <w:rPr>
          <w:rFonts w:ascii="Arial" w:hAnsi="Arial" w:cs="Arial"/>
          <w:sz w:val="22"/>
          <w:szCs w:val="22"/>
        </w:rPr>
        <w:t>Preecha Arunnara</w:t>
      </w:r>
    </w:p>
    <w:p w14:paraId="3B60E760" w14:textId="4496844B" w:rsidR="00174371" w:rsidRPr="008C64FA" w:rsidRDefault="000A0CA6" w:rsidP="002903B7">
      <w:pPr>
        <w:tabs>
          <w:tab w:val="left" w:pos="720"/>
          <w:tab w:val="center" w:pos="6300"/>
        </w:tabs>
        <w:spacing w:line="380" w:lineRule="exact"/>
        <w:rPr>
          <w:rFonts w:ascii="Arial" w:hAnsi="Arial" w:cs="Arial"/>
          <w:color w:val="000000"/>
          <w:sz w:val="22"/>
          <w:szCs w:val="22"/>
        </w:rPr>
      </w:pPr>
      <w:r w:rsidRPr="00691F32">
        <w:rPr>
          <w:rFonts w:ascii="Arial" w:hAnsi="Arial" w:cs="Arial"/>
          <w:color w:val="000000"/>
          <w:sz w:val="22"/>
          <w:szCs w:val="22"/>
        </w:rPr>
        <w:t xml:space="preserve">Certified Public Accountant (Thailand) No. </w:t>
      </w:r>
      <w:r>
        <w:rPr>
          <w:rFonts w:ascii="Arial" w:hAnsi="Arial" w:cs="Arial"/>
          <w:color w:val="000000"/>
          <w:sz w:val="22"/>
          <w:szCs w:val="22"/>
        </w:rPr>
        <w:t>5800</w:t>
      </w:r>
    </w:p>
    <w:p w14:paraId="0F9920E6" w14:textId="77777777" w:rsidR="00174371" w:rsidRPr="008C64FA" w:rsidRDefault="00174371" w:rsidP="002903B7">
      <w:pPr>
        <w:spacing w:line="380" w:lineRule="exact"/>
        <w:rPr>
          <w:rFonts w:ascii="Arial" w:hAnsi="Arial" w:cs="Arial"/>
          <w:color w:val="000000"/>
          <w:sz w:val="22"/>
          <w:szCs w:val="22"/>
        </w:rPr>
      </w:pPr>
    </w:p>
    <w:p w14:paraId="008FD4ED" w14:textId="77777777" w:rsidR="00174371" w:rsidRPr="008C64FA" w:rsidRDefault="00174371" w:rsidP="002903B7">
      <w:pPr>
        <w:spacing w:line="380" w:lineRule="exact"/>
        <w:rPr>
          <w:rFonts w:ascii="Arial" w:hAnsi="Arial" w:cs="Arial"/>
          <w:color w:val="000000"/>
          <w:sz w:val="22"/>
          <w:szCs w:val="22"/>
        </w:rPr>
      </w:pPr>
      <w:r w:rsidRPr="008C64FA">
        <w:rPr>
          <w:rFonts w:ascii="Arial" w:hAnsi="Arial" w:cs="Arial"/>
          <w:color w:val="000000"/>
          <w:sz w:val="22"/>
          <w:szCs w:val="22"/>
        </w:rPr>
        <w:t>EY Office Limited</w:t>
      </w:r>
    </w:p>
    <w:p w14:paraId="28E83282" w14:textId="4B1D0C3B" w:rsidR="00150C99" w:rsidRPr="0034350E" w:rsidRDefault="00174371" w:rsidP="002903B7">
      <w:pPr>
        <w:spacing w:line="380" w:lineRule="exact"/>
        <w:rPr>
          <w:rFonts w:ascii="Arial" w:hAnsi="Arial" w:cstheme="minorBidi"/>
          <w:sz w:val="22"/>
          <w:szCs w:val="22"/>
        </w:rPr>
      </w:pPr>
      <w:r w:rsidRPr="008C64FA">
        <w:rPr>
          <w:rFonts w:ascii="Arial" w:hAnsi="Arial" w:cs="Arial"/>
          <w:color w:val="000000"/>
          <w:sz w:val="22"/>
          <w:szCs w:val="22"/>
        </w:rPr>
        <w:t>Bangkok:</w:t>
      </w:r>
      <w:r w:rsidR="0065157A">
        <w:rPr>
          <w:rFonts w:ascii="Arial" w:hAnsi="Arial" w:cs="Arial"/>
          <w:color w:val="000000"/>
          <w:sz w:val="22"/>
          <w:szCs w:val="22"/>
        </w:rPr>
        <w:t xml:space="preserve"> </w:t>
      </w:r>
      <w:r w:rsidR="00621A52">
        <w:rPr>
          <w:rFonts w:ascii="Arial" w:hAnsi="Arial" w:cs="Arial"/>
          <w:color w:val="000000"/>
          <w:sz w:val="22"/>
          <w:szCs w:val="22"/>
        </w:rPr>
        <w:t>29</w:t>
      </w:r>
      <w:r w:rsidR="000A0CA6">
        <w:rPr>
          <w:rFonts w:ascii="Arial" w:hAnsi="Arial" w:cs="Arial"/>
          <w:color w:val="000000"/>
          <w:sz w:val="22"/>
          <w:szCs w:val="22"/>
        </w:rPr>
        <w:t xml:space="preserve"> </w:t>
      </w:r>
      <w:r w:rsidR="003D496B">
        <w:rPr>
          <w:rFonts w:ascii="Arial" w:hAnsi="Arial" w:cstheme="minorBidi"/>
          <w:color w:val="000000"/>
          <w:sz w:val="22"/>
          <w:szCs w:val="22"/>
        </w:rPr>
        <w:t xml:space="preserve">May </w:t>
      </w:r>
      <w:r w:rsidR="00862AFD">
        <w:rPr>
          <w:rFonts w:ascii="Arial" w:hAnsi="Arial" w:cstheme="minorBidi"/>
          <w:color w:val="000000"/>
          <w:sz w:val="22"/>
          <w:szCs w:val="22"/>
        </w:rPr>
        <w:t>202</w:t>
      </w:r>
      <w:r w:rsidR="00177D96">
        <w:rPr>
          <w:rFonts w:ascii="Arial" w:hAnsi="Arial" w:cstheme="minorBidi"/>
          <w:color w:val="000000"/>
          <w:sz w:val="22"/>
          <w:szCs w:val="22"/>
        </w:rPr>
        <w:t>6</w:t>
      </w:r>
    </w:p>
    <w:sectPr w:rsidR="00150C99" w:rsidRPr="0034350E" w:rsidSect="0041512D">
      <w:footerReference w:type="default" r:id="rId11"/>
      <w:headerReference w:type="first" r:id="rId12"/>
      <w:footerReference w:type="first" r:id="rId13"/>
      <w:pgSz w:w="11909" w:h="16834" w:code="9"/>
      <w:pgMar w:top="2160" w:right="1080" w:bottom="1080" w:left="1339"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B5A5D" w14:textId="77777777" w:rsidR="00846455" w:rsidRDefault="00846455" w:rsidP="00D25872">
      <w:r>
        <w:separator/>
      </w:r>
    </w:p>
  </w:endnote>
  <w:endnote w:type="continuationSeparator" w:id="0">
    <w:p w14:paraId="74675667" w14:textId="77777777" w:rsidR="00846455" w:rsidRDefault="00846455" w:rsidP="00D25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4D775" w14:textId="77777777" w:rsidR="00C560B3" w:rsidRDefault="00C560B3">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D51A3" w14:textId="77777777" w:rsidR="008975FF" w:rsidRDefault="008975FF" w:rsidP="008975FF">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14EF2" w14:textId="77777777" w:rsidR="001F4F4E" w:rsidRDefault="001F4F4E" w:rsidP="008975FF">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3809624"/>
      <w:docPartObj>
        <w:docPartGallery w:val="Page Numbers (Bottom of Page)"/>
        <w:docPartUnique/>
      </w:docPartObj>
    </w:sdtPr>
    <w:sdtEndPr>
      <w:rPr>
        <w:noProof/>
      </w:rPr>
    </w:sdtEndPr>
    <w:sdtContent>
      <w:p w14:paraId="3973DDEE" w14:textId="77777777" w:rsidR="00C560B3" w:rsidRDefault="00C560B3">
        <w:pPr>
          <w:pStyle w:val="Footer"/>
          <w:jc w:val="right"/>
        </w:pPr>
        <w:r w:rsidRPr="00C560B3">
          <w:rPr>
            <w:rFonts w:ascii="Arial" w:hAnsi="Arial" w:cs="Arial"/>
            <w:sz w:val="22"/>
            <w:szCs w:val="22"/>
          </w:rPr>
          <w:fldChar w:fldCharType="begin"/>
        </w:r>
        <w:r w:rsidRPr="00C560B3">
          <w:rPr>
            <w:rFonts w:ascii="Arial" w:hAnsi="Arial" w:cs="Arial"/>
            <w:sz w:val="22"/>
            <w:szCs w:val="22"/>
          </w:rPr>
          <w:instrText xml:space="preserve"> PAGE   \* MERGEFORMAT </w:instrText>
        </w:r>
        <w:r w:rsidRPr="00C560B3">
          <w:rPr>
            <w:rFonts w:ascii="Arial" w:hAnsi="Arial" w:cs="Arial"/>
            <w:sz w:val="22"/>
            <w:szCs w:val="22"/>
          </w:rPr>
          <w:fldChar w:fldCharType="separate"/>
        </w:r>
        <w:r w:rsidR="00572832">
          <w:rPr>
            <w:rFonts w:ascii="Arial" w:hAnsi="Arial" w:cs="Arial"/>
            <w:noProof/>
            <w:sz w:val="22"/>
            <w:szCs w:val="22"/>
          </w:rPr>
          <w:t>8</w:t>
        </w:r>
        <w:r w:rsidRPr="00C560B3">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8602169"/>
      <w:docPartObj>
        <w:docPartGallery w:val="Page Numbers (Bottom of Page)"/>
        <w:docPartUnique/>
      </w:docPartObj>
    </w:sdtPr>
    <w:sdtEndPr>
      <w:rPr>
        <w:noProof/>
      </w:rPr>
    </w:sdtEndPr>
    <w:sdtContent>
      <w:p w14:paraId="0478B4BA" w14:textId="77777777" w:rsidR="00C560B3" w:rsidRDefault="00C560B3" w:rsidP="008975FF">
        <w:pPr>
          <w:pStyle w:val="Footer"/>
          <w:jc w:val="right"/>
        </w:pPr>
        <w:r w:rsidRPr="008975FF">
          <w:rPr>
            <w:rFonts w:ascii="Arial" w:hAnsi="Arial" w:cs="Arial"/>
            <w:sz w:val="22"/>
            <w:szCs w:val="22"/>
          </w:rPr>
          <w:fldChar w:fldCharType="begin"/>
        </w:r>
        <w:r w:rsidRPr="008975FF">
          <w:rPr>
            <w:rFonts w:ascii="Arial" w:hAnsi="Arial" w:cs="Arial"/>
            <w:sz w:val="22"/>
            <w:szCs w:val="22"/>
          </w:rPr>
          <w:instrText xml:space="preserve"> PAGE   \* MERGEFORMAT </w:instrText>
        </w:r>
        <w:r w:rsidRPr="008975FF">
          <w:rPr>
            <w:rFonts w:ascii="Arial" w:hAnsi="Arial" w:cs="Arial"/>
            <w:sz w:val="22"/>
            <w:szCs w:val="22"/>
          </w:rPr>
          <w:fldChar w:fldCharType="separate"/>
        </w:r>
        <w:r w:rsidR="00572832">
          <w:rPr>
            <w:rFonts w:ascii="Arial" w:hAnsi="Arial" w:cs="Arial"/>
            <w:noProof/>
            <w:sz w:val="22"/>
            <w:szCs w:val="22"/>
          </w:rPr>
          <w:t>2</w:t>
        </w:r>
        <w:r w:rsidRPr="008975FF">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D0A03" w14:textId="77777777" w:rsidR="00846455" w:rsidRDefault="00846455" w:rsidP="00D25872">
      <w:r>
        <w:separator/>
      </w:r>
    </w:p>
  </w:footnote>
  <w:footnote w:type="continuationSeparator" w:id="0">
    <w:p w14:paraId="007EB0E6" w14:textId="77777777" w:rsidR="00846455" w:rsidRDefault="00846455" w:rsidP="00D258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3E11E" w14:textId="77777777" w:rsidR="00C560B3" w:rsidRDefault="00C560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492A10"/>
    <w:multiLevelType w:val="hybridMultilevel"/>
    <w:tmpl w:val="E66430C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7A5975"/>
    <w:multiLevelType w:val="hybridMultilevel"/>
    <w:tmpl w:val="25C6644A"/>
    <w:lvl w:ilvl="0" w:tplc="EFB22856">
      <w:start w:val="1"/>
      <w:numFmt w:val="bullet"/>
      <w:lvlText w:val="–"/>
      <w:lvlJc w:val="left"/>
      <w:pPr>
        <w:ind w:left="971" w:hanging="360"/>
      </w:pPr>
      <w:rPr>
        <w:rFonts w:ascii="Times New Roman" w:hAnsi="Times New Roman" w:cs="Times New Roman" w:hint="default"/>
        <w:sz w:val="22"/>
        <w:szCs w:val="22"/>
        <w:lang w:bidi="th-TH"/>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2" w15:restartNumberingAfterBreak="0">
    <w:nsid w:val="6AA6262A"/>
    <w:multiLevelType w:val="hybridMultilevel"/>
    <w:tmpl w:val="540A763E"/>
    <w:lvl w:ilvl="0" w:tplc="29A869A4">
      <w:start w:val="1"/>
      <w:numFmt w:val="lowerLetter"/>
      <w:lvlText w:val="%1)"/>
      <w:lvlJc w:val="left"/>
      <w:pPr>
        <w:ind w:left="720" w:hanging="360"/>
      </w:pPr>
      <w:rPr>
        <w:rFonts w:cs="Browallia New"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80610067">
    <w:abstractNumId w:val="3"/>
  </w:num>
  <w:num w:numId="2" w16cid:durableId="760369254">
    <w:abstractNumId w:val="2"/>
  </w:num>
  <w:num w:numId="3" w16cid:durableId="858741249">
    <w:abstractNumId w:val="1"/>
  </w:num>
  <w:num w:numId="4" w16cid:durableId="1812332915">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0C99"/>
    <w:rsid w:val="00001843"/>
    <w:rsid w:val="00001C65"/>
    <w:rsid w:val="00001F1F"/>
    <w:rsid w:val="0000323B"/>
    <w:rsid w:val="00003EDE"/>
    <w:rsid w:val="00004FA6"/>
    <w:rsid w:val="000148AC"/>
    <w:rsid w:val="0001528F"/>
    <w:rsid w:val="00015B36"/>
    <w:rsid w:val="00016F98"/>
    <w:rsid w:val="00022BD4"/>
    <w:rsid w:val="00023704"/>
    <w:rsid w:val="00025692"/>
    <w:rsid w:val="0002726E"/>
    <w:rsid w:val="00027709"/>
    <w:rsid w:val="00030BFD"/>
    <w:rsid w:val="00033687"/>
    <w:rsid w:val="00036E26"/>
    <w:rsid w:val="0004083A"/>
    <w:rsid w:val="00040CC7"/>
    <w:rsid w:val="00040F7D"/>
    <w:rsid w:val="0004258C"/>
    <w:rsid w:val="00043941"/>
    <w:rsid w:val="00044336"/>
    <w:rsid w:val="00045EE7"/>
    <w:rsid w:val="00046408"/>
    <w:rsid w:val="00052B99"/>
    <w:rsid w:val="000530A1"/>
    <w:rsid w:val="00053D86"/>
    <w:rsid w:val="0005446E"/>
    <w:rsid w:val="0005530C"/>
    <w:rsid w:val="00055444"/>
    <w:rsid w:val="00055FAD"/>
    <w:rsid w:val="000602E2"/>
    <w:rsid w:val="00060F5B"/>
    <w:rsid w:val="00061D7A"/>
    <w:rsid w:val="000637BA"/>
    <w:rsid w:val="00067000"/>
    <w:rsid w:val="00067B19"/>
    <w:rsid w:val="00067BDB"/>
    <w:rsid w:val="00071531"/>
    <w:rsid w:val="00076839"/>
    <w:rsid w:val="00076CA4"/>
    <w:rsid w:val="00080633"/>
    <w:rsid w:val="00080F58"/>
    <w:rsid w:val="000824BD"/>
    <w:rsid w:val="00082CF0"/>
    <w:rsid w:val="000840DE"/>
    <w:rsid w:val="00087C17"/>
    <w:rsid w:val="00090511"/>
    <w:rsid w:val="0009516C"/>
    <w:rsid w:val="0009693C"/>
    <w:rsid w:val="0009714D"/>
    <w:rsid w:val="00097788"/>
    <w:rsid w:val="00097CEA"/>
    <w:rsid w:val="000A0CA6"/>
    <w:rsid w:val="000A0D16"/>
    <w:rsid w:val="000A1811"/>
    <w:rsid w:val="000A1AE9"/>
    <w:rsid w:val="000A2537"/>
    <w:rsid w:val="000A3747"/>
    <w:rsid w:val="000A3F19"/>
    <w:rsid w:val="000A5F25"/>
    <w:rsid w:val="000A66E2"/>
    <w:rsid w:val="000A7C11"/>
    <w:rsid w:val="000B13D5"/>
    <w:rsid w:val="000B2508"/>
    <w:rsid w:val="000B3F2F"/>
    <w:rsid w:val="000B76C1"/>
    <w:rsid w:val="000C112E"/>
    <w:rsid w:val="000C14F9"/>
    <w:rsid w:val="000C260A"/>
    <w:rsid w:val="000C27C6"/>
    <w:rsid w:val="000C2D58"/>
    <w:rsid w:val="000C5CC2"/>
    <w:rsid w:val="000C6137"/>
    <w:rsid w:val="000C6A04"/>
    <w:rsid w:val="000C761F"/>
    <w:rsid w:val="000D3027"/>
    <w:rsid w:val="000D3853"/>
    <w:rsid w:val="000D4527"/>
    <w:rsid w:val="000D49E3"/>
    <w:rsid w:val="000D5EF5"/>
    <w:rsid w:val="000D637E"/>
    <w:rsid w:val="000D668D"/>
    <w:rsid w:val="000D7F94"/>
    <w:rsid w:val="000E0588"/>
    <w:rsid w:val="000E0F25"/>
    <w:rsid w:val="000E57FE"/>
    <w:rsid w:val="000E7B2D"/>
    <w:rsid w:val="000F149F"/>
    <w:rsid w:val="000F1FCF"/>
    <w:rsid w:val="000F2238"/>
    <w:rsid w:val="000F2307"/>
    <w:rsid w:val="000F3DF0"/>
    <w:rsid w:val="000F4A74"/>
    <w:rsid w:val="000F5E4F"/>
    <w:rsid w:val="000F5EA2"/>
    <w:rsid w:val="000F6A95"/>
    <w:rsid w:val="00100226"/>
    <w:rsid w:val="00103ED8"/>
    <w:rsid w:val="00104936"/>
    <w:rsid w:val="00104F83"/>
    <w:rsid w:val="00105F98"/>
    <w:rsid w:val="00106274"/>
    <w:rsid w:val="00106342"/>
    <w:rsid w:val="00110754"/>
    <w:rsid w:val="00113E8C"/>
    <w:rsid w:val="00116528"/>
    <w:rsid w:val="00117469"/>
    <w:rsid w:val="001211B6"/>
    <w:rsid w:val="001218FF"/>
    <w:rsid w:val="0012413B"/>
    <w:rsid w:val="0012652E"/>
    <w:rsid w:val="00131E88"/>
    <w:rsid w:val="001331A8"/>
    <w:rsid w:val="001331CF"/>
    <w:rsid w:val="001337C8"/>
    <w:rsid w:val="00134881"/>
    <w:rsid w:val="0013551A"/>
    <w:rsid w:val="001355ED"/>
    <w:rsid w:val="0013645C"/>
    <w:rsid w:val="0013656C"/>
    <w:rsid w:val="00137B19"/>
    <w:rsid w:val="00143FBA"/>
    <w:rsid w:val="0014731D"/>
    <w:rsid w:val="0014780B"/>
    <w:rsid w:val="00147CF0"/>
    <w:rsid w:val="0015021D"/>
    <w:rsid w:val="00150C99"/>
    <w:rsid w:val="00151788"/>
    <w:rsid w:val="00152CA1"/>
    <w:rsid w:val="001549BB"/>
    <w:rsid w:val="00155330"/>
    <w:rsid w:val="00155410"/>
    <w:rsid w:val="00155BE5"/>
    <w:rsid w:val="00157414"/>
    <w:rsid w:val="001611FF"/>
    <w:rsid w:val="00162C06"/>
    <w:rsid w:val="001631D2"/>
    <w:rsid w:val="001636E0"/>
    <w:rsid w:val="00174371"/>
    <w:rsid w:val="00174D0B"/>
    <w:rsid w:val="00176F80"/>
    <w:rsid w:val="00177D96"/>
    <w:rsid w:val="00181570"/>
    <w:rsid w:val="00181B20"/>
    <w:rsid w:val="00184A81"/>
    <w:rsid w:val="0018645E"/>
    <w:rsid w:val="00190AD2"/>
    <w:rsid w:val="00192A60"/>
    <w:rsid w:val="00192EF3"/>
    <w:rsid w:val="00194871"/>
    <w:rsid w:val="00194E93"/>
    <w:rsid w:val="00194F7D"/>
    <w:rsid w:val="00197419"/>
    <w:rsid w:val="001A19B0"/>
    <w:rsid w:val="001A19DD"/>
    <w:rsid w:val="001A1EDE"/>
    <w:rsid w:val="001A46C7"/>
    <w:rsid w:val="001A7EDA"/>
    <w:rsid w:val="001B059B"/>
    <w:rsid w:val="001B1D24"/>
    <w:rsid w:val="001B23CF"/>
    <w:rsid w:val="001B2E30"/>
    <w:rsid w:val="001B2F5E"/>
    <w:rsid w:val="001B398B"/>
    <w:rsid w:val="001B3AB0"/>
    <w:rsid w:val="001B3ADA"/>
    <w:rsid w:val="001B5ABC"/>
    <w:rsid w:val="001B6827"/>
    <w:rsid w:val="001B6D1B"/>
    <w:rsid w:val="001B6F16"/>
    <w:rsid w:val="001B7FA1"/>
    <w:rsid w:val="001C4EE9"/>
    <w:rsid w:val="001C5EDC"/>
    <w:rsid w:val="001C7B1D"/>
    <w:rsid w:val="001C7EB8"/>
    <w:rsid w:val="001D0409"/>
    <w:rsid w:val="001D29F7"/>
    <w:rsid w:val="001D2C60"/>
    <w:rsid w:val="001D2DB4"/>
    <w:rsid w:val="001D6571"/>
    <w:rsid w:val="001E156E"/>
    <w:rsid w:val="001E19CF"/>
    <w:rsid w:val="001E41D7"/>
    <w:rsid w:val="001E4AF3"/>
    <w:rsid w:val="001E4E77"/>
    <w:rsid w:val="001E5AEE"/>
    <w:rsid w:val="001E5D6F"/>
    <w:rsid w:val="001E78BE"/>
    <w:rsid w:val="001F0C53"/>
    <w:rsid w:val="001F1841"/>
    <w:rsid w:val="001F1CFF"/>
    <w:rsid w:val="001F34F5"/>
    <w:rsid w:val="001F3634"/>
    <w:rsid w:val="001F37CF"/>
    <w:rsid w:val="001F3A85"/>
    <w:rsid w:val="001F4333"/>
    <w:rsid w:val="001F4F4E"/>
    <w:rsid w:val="001F5065"/>
    <w:rsid w:val="001F5A28"/>
    <w:rsid w:val="001F6536"/>
    <w:rsid w:val="001F653C"/>
    <w:rsid w:val="00200B99"/>
    <w:rsid w:val="002029BF"/>
    <w:rsid w:val="002032E3"/>
    <w:rsid w:val="00205A86"/>
    <w:rsid w:val="00211C56"/>
    <w:rsid w:val="00213E00"/>
    <w:rsid w:val="002141ED"/>
    <w:rsid w:val="00216D2B"/>
    <w:rsid w:val="00220C76"/>
    <w:rsid w:val="002225D1"/>
    <w:rsid w:val="0022504A"/>
    <w:rsid w:val="00225771"/>
    <w:rsid w:val="00225F56"/>
    <w:rsid w:val="00233CDF"/>
    <w:rsid w:val="00233F05"/>
    <w:rsid w:val="00235A80"/>
    <w:rsid w:val="0023661F"/>
    <w:rsid w:val="00240EA7"/>
    <w:rsid w:val="0024217C"/>
    <w:rsid w:val="0024496B"/>
    <w:rsid w:val="00245BC0"/>
    <w:rsid w:val="00246CA4"/>
    <w:rsid w:val="0024705A"/>
    <w:rsid w:val="002473FA"/>
    <w:rsid w:val="00253BFE"/>
    <w:rsid w:val="0025575A"/>
    <w:rsid w:val="002577C7"/>
    <w:rsid w:val="00260C8C"/>
    <w:rsid w:val="00261336"/>
    <w:rsid w:val="00263861"/>
    <w:rsid w:val="002643CB"/>
    <w:rsid w:val="002652DD"/>
    <w:rsid w:val="00266C14"/>
    <w:rsid w:val="00273671"/>
    <w:rsid w:val="002756EE"/>
    <w:rsid w:val="0028679F"/>
    <w:rsid w:val="002869A5"/>
    <w:rsid w:val="00286D55"/>
    <w:rsid w:val="002903B7"/>
    <w:rsid w:val="0029043B"/>
    <w:rsid w:val="00291E3C"/>
    <w:rsid w:val="0029250F"/>
    <w:rsid w:val="00294403"/>
    <w:rsid w:val="00295C5D"/>
    <w:rsid w:val="0029669A"/>
    <w:rsid w:val="002A039A"/>
    <w:rsid w:val="002A1239"/>
    <w:rsid w:val="002A2DBD"/>
    <w:rsid w:val="002A49B3"/>
    <w:rsid w:val="002A5CFD"/>
    <w:rsid w:val="002A5F9C"/>
    <w:rsid w:val="002A6F0D"/>
    <w:rsid w:val="002B1A7E"/>
    <w:rsid w:val="002B2A80"/>
    <w:rsid w:val="002B2AA3"/>
    <w:rsid w:val="002B3417"/>
    <w:rsid w:val="002B5644"/>
    <w:rsid w:val="002B6809"/>
    <w:rsid w:val="002B779A"/>
    <w:rsid w:val="002C01E7"/>
    <w:rsid w:val="002C2EAC"/>
    <w:rsid w:val="002C3DFF"/>
    <w:rsid w:val="002C404F"/>
    <w:rsid w:val="002C6A7D"/>
    <w:rsid w:val="002D0ADA"/>
    <w:rsid w:val="002D12C3"/>
    <w:rsid w:val="002D130B"/>
    <w:rsid w:val="002D340D"/>
    <w:rsid w:val="002D4168"/>
    <w:rsid w:val="002D4E0C"/>
    <w:rsid w:val="002D7567"/>
    <w:rsid w:val="002E47AA"/>
    <w:rsid w:val="002E5975"/>
    <w:rsid w:val="002E6DAE"/>
    <w:rsid w:val="002F0B3E"/>
    <w:rsid w:val="002F0CF3"/>
    <w:rsid w:val="002F2225"/>
    <w:rsid w:val="002F2ADC"/>
    <w:rsid w:val="002F4A92"/>
    <w:rsid w:val="002F533F"/>
    <w:rsid w:val="002F598F"/>
    <w:rsid w:val="002F7A93"/>
    <w:rsid w:val="002F7C98"/>
    <w:rsid w:val="00300FCB"/>
    <w:rsid w:val="00301194"/>
    <w:rsid w:val="00302979"/>
    <w:rsid w:val="00302A27"/>
    <w:rsid w:val="00302FC8"/>
    <w:rsid w:val="0030672F"/>
    <w:rsid w:val="003070CE"/>
    <w:rsid w:val="00307498"/>
    <w:rsid w:val="003103DC"/>
    <w:rsid w:val="00310772"/>
    <w:rsid w:val="003119C9"/>
    <w:rsid w:val="00311B64"/>
    <w:rsid w:val="0031342F"/>
    <w:rsid w:val="003138E2"/>
    <w:rsid w:val="00314120"/>
    <w:rsid w:val="00314F6E"/>
    <w:rsid w:val="003169DB"/>
    <w:rsid w:val="00321FF7"/>
    <w:rsid w:val="00322C7F"/>
    <w:rsid w:val="00325462"/>
    <w:rsid w:val="00325894"/>
    <w:rsid w:val="00326AC1"/>
    <w:rsid w:val="00326D29"/>
    <w:rsid w:val="003273A7"/>
    <w:rsid w:val="00330B54"/>
    <w:rsid w:val="00331B45"/>
    <w:rsid w:val="00333574"/>
    <w:rsid w:val="00333D0C"/>
    <w:rsid w:val="003429D6"/>
    <w:rsid w:val="0034350E"/>
    <w:rsid w:val="0034620C"/>
    <w:rsid w:val="003500B5"/>
    <w:rsid w:val="003502A1"/>
    <w:rsid w:val="00353DE2"/>
    <w:rsid w:val="003551DC"/>
    <w:rsid w:val="00362939"/>
    <w:rsid w:val="003675DE"/>
    <w:rsid w:val="00367CD5"/>
    <w:rsid w:val="00370B8B"/>
    <w:rsid w:val="003713B2"/>
    <w:rsid w:val="003743D9"/>
    <w:rsid w:val="003766BE"/>
    <w:rsid w:val="00377D0E"/>
    <w:rsid w:val="00381802"/>
    <w:rsid w:val="00382681"/>
    <w:rsid w:val="00384F60"/>
    <w:rsid w:val="00384FD6"/>
    <w:rsid w:val="0038708A"/>
    <w:rsid w:val="00390AA6"/>
    <w:rsid w:val="00392695"/>
    <w:rsid w:val="00392AF0"/>
    <w:rsid w:val="003936C7"/>
    <w:rsid w:val="003942FA"/>
    <w:rsid w:val="003945A8"/>
    <w:rsid w:val="003952B6"/>
    <w:rsid w:val="003955F7"/>
    <w:rsid w:val="00395BE0"/>
    <w:rsid w:val="0039759B"/>
    <w:rsid w:val="003A1BC5"/>
    <w:rsid w:val="003A2CEB"/>
    <w:rsid w:val="003A47A3"/>
    <w:rsid w:val="003A4B31"/>
    <w:rsid w:val="003A4BA0"/>
    <w:rsid w:val="003A621B"/>
    <w:rsid w:val="003A7A05"/>
    <w:rsid w:val="003A7E74"/>
    <w:rsid w:val="003B03A8"/>
    <w:rsid w:val="003B0930"/>
    <w:rsid w:val="003B14F2"/>
    <w:rsid w:val="003B5399"/>
    <w:rsid w:val="003B5E62"/>
    <w:rsid w:val="003B6FCA"/>
    <w:rsid w:val="003C0600"/>
    <w:rsid w:val="003C0894"/>
    <w:rsid w:val="003C1D22"/>
    <w:rsid w:val="003C2AD3"/>
    <w:rsid w:val="003C425A"/>
    <w:rsid w:val="003C58F3"/>
    <w:rsid w:val="003C5B15"/>
    <w:rsid w:val="003C7EE8"/>
    <w:rsid w:val="003D1840"/>
    <w:rsid w:val="003D2F96"/>
    <w:rsid w:val="003D496B"/>
    <w:rsid w:val="003D5C9F"/>
    <w:rsid w:val="003E0B64"/>
    <w:rsid w:val="003E2615"/>
    <w:rsid w:val="003E5483"/>
    <w:rsid w:val="003E5ADF"/>
    <w:rsid w:val="003E6A8B"/>
    <w:rsid w:val="003E6DFF"/>
    <w:rsid w:val="003E7541"/>
    <w:rsid w:val="003E7844"/>
    <w:rsid w:val="003E7DAD"/>
    <w:rsid w:val="003E7E0A"/>
    <w:rsid w:val="003F077E"/>
    <w:rsid w:val="003F32BD"/>
    <w:rsid w:val="003F5963"/>
    <w:rsid w:val="003F68E3"/>
    <w:rsid w:val="003F77A2"/>
    <w:rsid w:val="0040044F"/>
    <w:rsid w:val="0040208A"/>
    <w:rsid w:val="00403DDA"/>
    <w:rsid w:val="00404AE2"/>
    <w:rsid w:val="004059D2"/>
    <w:rsid w:val="00410291"/>
    <w:rsid w:val="00413D8A"/>
    <w:rsid w:val="0041512D"/>
    <w:rsid w:val="004204A8"/>
    <w:rsid w:val="00420890"/>
    <w:rsid w:val="00420B1A"/>
    <w:rsid w:val="00422002"/>
    <w:rsid w:val="00424A48"/>
    <w:rsid w:val="00424D2B"/>
    <w:rsid w:val="00424D61"/>
    <w:rsid w:val="00424F48"/>
    <w:rsid w:val="00425EAA"/>
    <w:rsid w:val="00426D2A"/>
    <w:rsid w:val="004305D4"/>
    <w:rsid w:val="00430725"/>
    <w:rsid w:val="00431F77"/>
    <w:rsid w:val="00433F64"/>
    <w:rsid w:val="00435AF3"/>
    <w:rsid w:val="0043665B"/>
    <w:rsid w:val="0043771A"/>
    <w:rsid w:val="00437C1E"/>
    <w:rsid w:val="0044038E"/>
    <w:rsid w:val="00440783"/>
    <w:rsid w:val="004408AC"/>
    <w:rsid w:val="00440BC3"/>
    <w:rsid w:val="00441CCD"/>
    <w:rsid w:val="0044353D"/>
    <w:rsid w:val="00443704"/>
    <w:rsid w:val="00443E61"/>
    <w:rsid w:val="00452019"/>
    <w:rsid w:val="0045210F"/>
    <w:rsid w:val="00454317"/>
    <w:rsid w:val="004543A2"/>
    <w:rsid w:val="00454BC5"/>
    <w:rsid w:val="00456959"/>
    <w:rsid w:val="00460343"/>
    <w:rsid w:val="004603DF"/>
    <w:rsid w:val="00462865"/>
    <w:rsid w:val="00464D36"/>
    <w:rsid w:val="004661BE"/>
    <w:rsid w:val="00473BC0"/>
    <w:rsid w:val="0047519B"/>
    <w:rsid w:val="00482B47"/>
    <w:rsid w:val="00484CEF"/>
    <w:rsid w:val="00485DA8"/>
    <w:rsid w:val="004905ED"/>
    <w:rsid w:val="0049078D"/>
    <w:rsid w:val="004921F1"/>
    <w:rsid w:val="00495F70"/>
    <w:rsid w:val="00496428"/>
    <w:rsid w:val="004A34CF"/>
    <w:rsid w:val="004A4338"/>
    <w:rsid w:val="004A67F4"/>
    <w:rsid w:val="004A69E1"/>
    <w:rsid w:val="004A6BF5"/>
    <w:rsid w:val="004B00D1"/>
    <w:rsid w:val="004B27AA"/>
    <w:rsid w:val="004B31FB"/>
    <w:rsid w:val="004B3550"/>
    <w:rsid w:val="004B6074"/>
    <w:rsid w:val="004B6CD4"/>
    <w:rsid w:val="004C01CF"/>
    <w:rsid w:val="004C2A42"/>
    <w:rsid w:val="004C4232"/>
    <w:rsid w:val="004C594A"/>
    <w:rsid w:val="004D00C8"/>
    <w:rsid w:val="004D00F7"/>
    <w:rsid w:val="004D057E"/>
    <w:rsid w:val="004D1199"/>
    <w:rsid w:val="004D43A4"/>
    <w:rsid w:val="004D5718"/>
    <w:rsid w:val="004D5E40"/>
    <w:rsid w:val="004D6730"/>
    <w:rsid w:val="004D781F"/>
    <w:rsid w:val="004D7D56"/>
    <w:rsid w:val="004E0A84"/>
    <w:rsid w:val="004E1681"/>
    <w:rsid w:val="004E53F6"/>
    <w:rsid w:val="004E5EF3"/>
    <w:rsid w:val="004E6173"/>
    <w:rsid w:val="004E7322"/>
    <w:rsid w:val="004F209D"/>
    <w:rsid w:val="004F277F"/>
    <w:rsid w:val="004F60B5"/>
    <w:rsid w:val="004F71D0"/>
    <w:rsid w:val="004F72D6"/>
    <w:rsid w:val="004F78A8"/>
    <w:rsid w:val="00500D23"/>
    <w:rsid w:val="00500FF9"/>
    <w:rsid w:val="0050188C"/>
    <w:rsid w:val="00501F0F"/>
    <w:rsid w:val="00502231"/>
    <w:rsid w:val="00502803"/>
    <w:rsid w:val="00502F4C"/>
    <w:rsid w:val="00504D8A"/>
    <w:rsid w:val="0050524F"/>
    <w:rsid w:val="00507D49"/>
    <w:rsid w:val="00510271"/>
    <w:rsid w:val="005102FB"/>
    <w:rsid w:val="00510732"/>
    <w:rsid w:val="00510A66"/>
    <w:rsid w:val="00511B25"/>
    <w:rsid w:val="00512721"/>
    <w:rsid w:val="0051434C"/>
    <w:rsid w:val="00514512"/>
    <w:rsid w:val="005159AF"/>
    <w:rsid w:val="00516DBD"/>
    <w:rsid w:val="0051710C"/>
    <w:rsid w:val="00520073"/>
    <w:rsid w:val="00520308"/>
    <w:rsid w:val="005204F8"/>
    <w:rsid w:val="00521CD9"/>
    <w:rsid w:val="00523871"/>
    <w:rsid w:val="0052546B"/>
    <w:rsid w:val="00526268"/>
    <w:rsid w:val="00526F52"/>
    <w:rsid w:val="0052748D"/>
    <w:rsid w:val="0052769C"/>
    <w:rsid w:val="00530250"/>
    <w:rsid w:val="0053215F"/>
    <w:rsid w:val="00535F47"/>
    <w:rsid w:val="0053660D"/>
    <w:rsid w:val="005368BC"/>
    <w:rsid w:val="0053770C"/>
    <w:rsid w:val="00542BE9"/>
    <w:rsid w:val="00545377"/>
    <w:rsid w:val="00546B77"/>
    <w:rsid w:val="0055070C"/>
    <w:rsid w:val="00550867"/>
    <w:rsid w:val="00550B4C"/>
    <w:rsid w:val="005516AB"/>
    <w:rsid w:val="005517E3"/>
    <w:rsid w:val="00551EE9"/>
    <w:rsid w:val="0055264A"/>
    <w:rsid w:val="005538C3"/>
    <w:rsid w:val="00554395"/>
    <w:rsid w:val="00554CF8"/>
    <w:rsid w:val="005559F7"/>
    <w:rsid w:val="00556767"/>
    <w:rsid w:val="0055753B"/>
    <w:rsid w:val="00560009"/>
    <w:rsid w:val="00563688"/>
    <w:rsid w:val="00565F78"/>
    <w:rsid w:val="005664AC"/>
    <w:rsid w:val="00572832"/>
    <w:rsid w:val="00577EEB"/>
    <w:rsid w:val="00577F59"/>
    <w:rsid w:val="00581308"/>
    <w:rsid w:val="00582ABB"/>
    <w:rsid w:val="00584894"/>
    <w:rsid w:val="0058626B"/>
    <w:rsid w:val="005872DB"/>
    <w:rsid w:val="00587D15"/>
    <w:rsid w:val="00591579"/>
    <w:rsid w:val="00592097"/>
    <w:rsid w:val="00592A2C"/>
    <w:rsid w:val="00592EE9"/>
    <w:rsid w:val="00594460"/>
    <w:rsid w:val="00594CFF"/>
    <w:rsid w:val="00595366"/>
    <w:rsid w:val="00595655"/>
    <w:rsid w:val="00596856"/>
    <w:rsid w:val="00596BEA"/>
    <w:rsid w:val="005A0EAF"/>
    <w:rsid w:val="005A0F4D"/>
    <w:rsid w:val="005A1E92"/>
    <w:rsid w:val="005A27DA"/>
    <w:rsid w:val="005A2CF5"/>
    <w:rsid w:val="005A581D"/>
    <w:rsid w:val="005A6B9E"/>
    <w:rsid w:val="005B22AC"/>
    <w:rsid w:val="005B260C"/>
    <w:rsid w:val="005B3997"/>
    <w:rsid w:val="005B39D2"/>
    <w:rsid w:val="005B43F0"/>
    <w:rsid w:val="005B6F44"/>
    <w:rsid w:val="005C0533"/>
    <w:rsid w:val="005C1283"/>
    <w:rsid w:val="005C20EC"/>
    <w:rsid w:val="005C3784"/>
    <w:rsid w:val="005C5FA3"/>
    <w:rsid w:val="005D025C"/>
    <w:rsid w:val="005D17E8"/>
    <w:rsid w:val="005D1866"/>
    <w:rsid w:val="005D2555"/>
    <w:rsid w:val="005D41B7"/>
    <w:rsid w:val="005D42C7"/>
    <w:rsid w:val="005D44BD"/>
    <w:rsid w:val="005D5C62"/>
    <w:rsid w:val="005D7416"/>
    <w:rsid w:val="005E0C39"/>
    <w:rsid w:val="005E6269"/>
    <w:rsid w:val="005E6E06"/>
    <w:rsid w:val="005F075F"/>
    <w:rsid w:val="005F3DAE"/>
    <w:rsid w:val="005F67A1"/>
    <w:rsid w:val="005F7219"/>
    <w:rsid w:val="0060315A"/>
    <w:rsid w:val="00603F54"/>
    <w:rsid w:val="00611197"/>
    <w:rsid w:val="00611B26"/>
    <w:rsid w:val="00613C72"/>
    <w:rsid w:val="006166CA"/>
    <w:rsid w:val="00616A18"/>
    <w:rsid w:val="00616E69"/>
    <w:rsid w:val="00621A52"/>
    <w:rsid w:val="006243A0"/>
    <w:rsid w:val="006255CC"/>
    <w:rsid w:val="0062699F"/>
    <w:rsid w:val="00626ABF"/>
    <w:rsid w:val="00630C0A"/>
    <w:rsid w:val="00632E4E"/>
    <w:rsid w:val="00633623"/>
    <w:rsid w:val="00634D8B"/>
    <w:rsid w:val="0063587E"/>
    <w:rsid w:val="006364E7"/>
    <w:rsid w:val="00636599"/>
    <w:rsid w:val="00637A5F"/>
    <w:rsid w:val="00637C31"/>
    <w:rsid w:val="00643401"/>
    <w:rsid w:val="0064415E"/>
    <w:rsid w:val="00645B98"/>
    <w:rsid w:val="00645CB2"/>
    <w:rsid w:val="00647C8C"/>
    <w:rsid w:val="006500B4"/>
    <w:rsid w:val="0065046C"/>
    <w:rsid w:val="0065050C"/>
    <w:rsid w:val="006505A8"/>
    <w:rsid w:val="00650953"/>
    <w:rsid w:val="00651374"/>
    <w:rsid w:val="0065157A"/>
    <w:rsid w:val="0065272C"/>
    <w:rsid w:val="006556F1"/>
    <w:rsid w:val="00656B2E"/>
    <w:rsid w:val="0066101D"/>
    <w:rsid w:val="00662014"/>
    <w:rsid w:val="00663B87"/>
    <w:rsid w:val="006660F9"/>
    <w:rsid w:val="00667FA1"/>
    <w:rsid w:val="00674058"/>
    <w:rsid w:val="0068256B"/>
    <w:rsid w:val="00682728"/>
    <w:rsid w:val="006878BF"/>
    <w:rsid w:val="00687B90"/>
    <w:rsid w:val="0069102B"/>
    <w:rsid w:val="00691107"/>
    <w:rsid w:val="006927B8"/>
    <w:rsid w:val="0069428B"/>
    <w:rsid w:val="006961CA"/>
    <w:rsid w:val="0069655B"/>
    <w:rsid w:val="0069725A"/>
    <w:rsid w:val="006A08E8"/>
    <w:rsid w:val="006A455F"/>
    <w:rsid w:val="006A6325"/>
    <w:rsid w:val="006A636E"/>
    <w:rsid w:val="006B0B6A"/>
    <w:rsid w:val="006B2731"/>
    <w:rsid w:val="006B2A64"/>
    <w:rsid w:val="006B2BAA"/>
    <w:rsid w:val="006B3883"/>
    <w:rsid w:val="006B4184"/>
    <w:rsid w:val="006B5FF1"/>
    <w:rsid w:val="006B627C"/>
    <w:rsid w:val="006B7898"/>
    <w:rsid w:val="006C1C74"/>
    <w:rsid w:val="006C4D1F"/>
    <w:rsid w:val="006C751A"/>
    <w:rsid w:val="006C782B"/>
    <w:rsid w:val="006D06E8"/>
    <w:rsid w:val="006D5968"/>
    <w:rsid w:val="006D7606"/>
    <w:rsid w:val="006E0337"/>
    <w:rsid w:val="006E0AC4"/>
    <w:rsid w:val="006E1624"/>
    <w:rsid w:val="006E2DEB"/>
    <w:rsid w:val="006E37D0"/>
    <w:rsid w:val="006E3AC3"/>
    <w:rsid w:val="006E61B8"/>
    <w:rsid w:val="006E6705"/>
    <w:rsid w:val="006E7567"/>
    <w:rsid w:val="006E7A2E"/>
    <w:rsid w:val="006F0B10"/>
    <w:rsid w:val="006F2E28"/>
    <w:rsid w:val="006F303F"/>
    <w:rsid w:val="006F79D2"/>
    <w:rsid w:val="006F7DBF"/>
    <w:rsid w:val="0070053E"/>
    <w:rsid w:val="00704EA5"/>
    <w:rsid w:val="00706E6E"/>
    <w:rsid w:val="00707D64"/>
    <w:rsid w:val="007100F5"/>
    <w:rsid w:val="0071069A"/>
    <w:rsid w:val="007107AB"/>
    <w:rsid w:val="007137B0"/>
    <w:rsid w:val="00714558"/>
    <w:rsid w:val="0071551A"/>
    <w:rsid w:val="0071659D"/>
    <w:rsid w:val="00716B3E"/>
    <w:rsid w:val="00717B86"/>
    <w:rsid w:val="00720F5C"/>
    <w:rsid w:val="00721E40"/>
    <w:rsid w:val="00725958"/>
    <w:rsid w:val="007310E9"/>
    <w:rsid w:val="00731A78"/>
    <w:rsid w:val="00732586"/>
    <w:rsid w:val="007326F4"/>
    <w:rsid w:val="007342B6"/>
    <w:rsid w:val="00736C52"/>
    <w:rsid w:val="00736D8F"/>
    <w:rsid w:val="007425DD"/>
    <w:rsid w:val="00742F84"/>
    <w:rsid w:val="00743C3E"/>
    <w:rsid w:val="0074537C"/>
    <w:rsid w:val="007455A5"/>
    <w:rsid w:val="0074565D"/>
    <w:rsid w:val="00745D1C"/>
    <w:rsid w:val="007466CD"/>
    <w:rsid w:val="007478E7"/>
    <w:rsid w:val="00750336"/>
    <w:rsid w:val="00750E7D"/>
    <w:rsid w:val="00752E27"/>
    <w:rsid w:val="00753067"/>
    <w:rsid w:val="00753A63"/>
    <w:rsid w:val="00753B1E"/>
    <w:rsid w:val="0075452A"/>
    <w:rsid w:val="00756E4B"/>
    <w:rsid w:val="00756FC6"/>
    <w:rsid w:val="007605A5"/>
    <w:rsid w:val="00760E3D"/>
    <w:rsid w:val="00762F59"/>
    <w:rsid w:val="0076484D"/>
    <w:rsid w:val="00765083"/>
    <w:rsid w:val="00765358"/>
    <w:rsid w:val="00767EE4"/>
    <w:rsid w:val="00767F02"/>
    <w:rsid w:val="00770F6A"/>
    <w:rsid w:val="007714E4"/>
    <w:rsid w:val="0077185C"/>
    <w:rsid w:val="00773181"/>
    <w:rsid w:val="007736EC"/>
    <w:rsid w:val="00774A34"/>
    <w:rsid w:val="00774F1F"/>
    <w:rsid w:val="00775D67"/>
    <w:rsid w:val="00775E58"/>
    <w:rsid w:val="00776F61"/>
    <w:rsid w:val="00780E56"/>
    <w:rsid w:val="007810FA"/>
    <w:rsid w:val="00781415"/>
    <w:rsid w:val="00782F5D"/>
    <w:rsid w:val="0078322A"/>
    <w:rsid w:val="007905E9"/>
    <w:rsid w:val="007931B0"/>
    <w:rsid w:val="007936EB"/>
    <w:rsid w:val="00794BFF"/>
    <w:rsid w:val="00795FD4"/>
    <w:rsid w:val="007971DA"/>
    <w:rsid w:val="007A0520"/>
    <w:rsid w:val="007A0A34"/>
    <w:rsid w:val="007A341E"/>
    <w:rsid w:val="007A4453"/>
    <w:rsid w:val="007A44A1"/>
    <w:rsid w:val="007A6911"/>
    <w:rsid w:val="007A70E1"/>
    <w:rsid w:val="007A758C"/>
    <w:rsid w:val="007B12E6"/>
    <w:rsid w:val="007B1480"/>
    <w:rsid w:val="007B244F"/>
    <w:rsid w:val="007B2A4E"/>
    <w:rsid w:val="007B6FB8"/>
    <w:rsid w:val="007C0AE5"/>
    <w:rsid w:val="007C4C15"/>
    <w:rsid w:val="007C71F6"/>
    <w:rsid w:val="007D12FC"/>
    <w:rsid w:val="007D376A"/>
    <w:rsid w:val="007D40C3"/>
    <w:rsid w:val="007D44AE"/>
    <w:rsid w:val="007D55E3"/>
    <w:rsid w:val="007E7A56"/>
    <w:rsid w:val="007F1243"/>
    <w:rsid w:val="007F13D4"/>
    <w:rsid w:val="007F19F4"/>
    <w:rsid w:val="007F38EF"/>
    <w:rsid w:val="007F41CC"/>
    <w:rsid w:val="007F5984"/>
    <w:rsid w:val="007F60A5"/>
    <w:rsid w:val="007F7F87"/>
    <w:rsid w:val="00800F37"/>
    <w:rsid w:val="00801E38"/>
    <w:rsid w:val="0080308A"/>
    <w:rsid w:val="00804950"/>
    <w:rsid w:val="00811A20"/>
    <w:rsid w:val="008123C6"/>
    <w:rsid w:val="00812CAA"/>
    <w:rsid w:val="008157FD"/>
    <w:rsid w:val="00816E4C"/>
    <w:rsid w:val="00817DEA"/>
    <w:rsid w:val="00820999"/>
    <w:rsid w:val="00821757"/>
    <w:rsid w:val="0082179C"/>
    <w:rsid w:val="00823E66"/>
    <w:rsid w:val="00825417"/>
    <w:rsid w:val="00825B51"/>
    <w:rsid w:val="008326E9"/>
    <w:rsid w:val="00832C07"/>
    <w:rsid w:val="0083345C"/>
    <w:rsid w:val="0083409B"/>
    <w:rsid w:val="00834494"/>
    <w:rsid w:val="008367E8"/>
    <w:rsid w:val="00837253"/>
    <w:rsid w:val="0083739F"/>
    <w:rsid w:val="0083783B"/>
    <w:rsid w:val="008448E1"/>
    <w:rsid w:val="008452F7"/>
    <w:rsid w:val="00845D5B"/>
    <w:rsid w:val="00846455"/>
    <w:rsid w:val="00850CE1"/>
    <w:rsid w:val="00852D18"/>
    <w:rsid w:val="00853740"/>
    <w:rsid w:val="008537DC"/>
    <w:rsid w:val="00854C73"/>
    <w:rsid w:val="00861BEC"/>
    <w:rsid w:val="00861FAA"/>
    <w:rsid w:val="0086258D"/>
    <w:rsid w:val="00862AFD"/>
    <w:rsid w:val="00862C26"/>
    <w:rsid w:val="00863A58"/>
    <w:rsid w:val="00864A67"/>
    <w:rsid w:val="00870083"/>
    <w:rsid w:val="00870E03"/>
    <w:rsid w:val="008763AB"/>
    <w:rsid w:val="00877E0A"/>
    <w:rsid w:val="0088005D"/>
    <w:rsid w:val="00880FBE"/>
    <w:rsid w:val="008826AD"/>
    <w:rsid w:val="0088437C"/>
    <w:rsid w:val="00885808"/>
    <w:rsid w:val="008865B3"/>
    <w:rsid w:val="00886945"/>
    <w:rsid w:val="00890216"/>
    <w:rsid w:val="00893269"/>
    <w:rsid w:val="00894E3F"/>
    <w:rsid w:val="00896754"/>
    <w:rsid w:val="008975A2"/>
    <w:rsid w:val="008975FF"/>
    <w:rsid w:val="008A158F"/>
    <w:rsid w:val="008A4D43"/>
    <w:rsid w:val="008A549A"/>
    <w:rsid w:val="008A666B"/>
    <w:rsid w:val="008A696F"/>
    <w:rsid w:val="008B1609"/>
    <w:rsid w:val="008B2F87"/>
    <w:rsid w:val="008B3C69"/>
    <w:rsid w:val="008B3FF8"/>
    <w:rsid w:val="008B5BF5"/>
    <w:rsid w:val="008B7BA6"/>
    <w:rsid w:val="008C1863"/>
    <w:rsid w:val="008C1A5F"/>
    <w:rsid w:val="008C2DB4"/>
    <w:rsid w:val="008C3062"/>
    <w:rsid w:val="008C38D5"/>
    <w:rsid w:val="008C64FA"/>
    <w:rsid w:val="008D3798"/>
    <w:rsid w:val="008D4353"/>
    <w:rsid w:val="008D4920"/>
    <w:rsid w:val="008D4B49"/>
    <w:rsid w:val="008D7139"/>
    <w:rsid w:val="008D75D1"/>
    <w:rsid w:val="008D7F80"/>
    <w:rsid w:val="008E1177"/>
    <w:rsid w:val="008E1741"/>
    <w:rsid w:val="008E314C"/>
    <w:rsid w:val="008E4B8B"/>
    <w:rsid w:val="008E50F6"/>
    <w:rsid w:val="008F025F"/>
    <w:rsid w:val="008F073E"/>
    <w:rsid w:val="008F0996"/>
    <w:rsid w:val="008F21B5"/>
    <w:rsid w:val="008F75B6"/>
    <w:rsid w:val="008F7D50"/>
    <w:rsid w:val="008F7E9A"/>
    <w:rsid w:val="00900EE1"/>
    <w:rsid w:val="00901C1B"/>
    <w:rsid w:val="00901C63"/>
    <w:rsid w:val="00901EB0"/>
    <w:rsid w:val="00902F70"/>
    <w:rsid w:val="0090354E"/>
    <w:rsid w:val="0090470D"/>
    <w:rsid w:val="00906AB4"/>
    <w:rsid w:val="00907102"/>
    <w:rsid w:val="009100D5"/>
    <w:rsid w:val="00910BEA"/>
    <w:rsid w:val="0091107D"/>
    <w:rsid w:val="00911F09"/>
    <w:rsid w:val="00916556"/>
    <w:rsid w:val="00917266"/>
    <w:rsid w:val="00917866"/>
    <w:rsid w:val="009237DE"/>
    <w:rsid w:val="00923B94"/>
    <w:rsid w:val="0092578A"/>
    <w:rsid w:val="00926624"/>
    <w:rsid w:val="00927129"/>
    <w:rsid w:val="00927530"/>
    <w:rsid w:val="00927840"/>
    <w:rsid w:val="00931A77"/>
    <w:rsid w:val="00931D49"/>
    <w:rsid w:val="00931F6A"/>
    <w:rsid w:val="009323C8"/>
    <w:rsid w:val="009362C8"/>
    <w:rsid w:val="00940092"/>
    <w:rsid w:val="00940160"/>
    <w:rsid w:val="0094152E"/>
    <w:rsid w:val="00944B89"/>
    <w:rsid w:val="00946001"/>
    <w:rsid w:val="00950973"/>
    <w:rsid w:val="009530BD"/>
    <w:rsid w:val="009533BC"/>
    <w:rsid w:val="009540DE"/>
    <w:rsid w:val="00957ADD"/>
    <w:rsid w:val="00957BF3"/>
    <w:rsid w:val="00957F9B"/>
    <w:rsid w:val="00961032"/>
    <w:rsid w:val="00962FF9"/>
    <w:rsid w:val="009639FB"/>
    <w:rsid w:val="0096563C"/>
    <w:rsid w:val="00966B82"/>
    <w:rsid w:val="00967CB4"/>
    <w:rsid w:val="009715D8"/>
    <w:rsid w:val="00973227"/>
    <w:rsid w:val="00973462"/>
    <w:rsid w:val="0097380A"/>
    <w:rsid w:val="0097416A"/>
    <w:rsid w:val="009757FD"/>
    <w:rsid w:val="00977A82"/>
    <w:rsid w:val="00977BFD"/>
    <w:rsid w:val="00977C8B"/>
    <w:rsid w:val="00977F9A"/>
    <w:rsid w:val="009805DF"/>
    <w:rsid w:val="0098293B"/>
    <w:rsid w:val="0098327D"/>
    <w:rsid w:val="00984A39"/>
    <w:rsid w:val="009869CA"/>
    <w:rsid w:val="00987BC5"/>
    <w:rsid w:val="00991805"/>
    <w:rsid w:val="009923D1"/>
    <w:rsid w:val="00992699"/>
    <w:rsid w:val="00995A59"/>
    <w:rsid w:val="009A1A9C"/>
    <w:rsid w:val="009A3A4C"/>
    <w:rsid w:val="009A3F18"/>
    <w:rsid w:val="009A4BCD"/>
    <w:rsid w:val="009A4EFD"/>
    <w:rsid w:val="009A4FFD"/>
    <w:rsid w:val="009A5E19"/>
    <w:rsid w:val="009A75E5"/>
    <w:rsid w:val="009B197F"/>
    <w:rsid w:val="009B388F"/>
    <w:rsid w:val="009B4065"/>
    <w:rsid w:val="009B5A8A"/>
    <w:rsid w:val="009B6352"/>
    <w:rsid w:val="009B76F7"/>
    <w:rsid w:val="009B7975"/>
    <w:rsid w:val="009C1626"/>
    <w:rsid w:val="009C2619"/>
    <w:rsid w:val="009C3D3F"/>
    <w:rsid w:val="009C531D"/>
    <w:rsid w:val="009C6F45"/>
    <w:rsid w:val="009D1673"/>
    <w:rsid w:val="009D23FF"/>
    <w:rsid w:val="009D4314"/>
    <w:rsid w:val="009D455B"/>
    <w:rsid w:val="009D5437"/>
    <w:rsid w:val="009D636B"/>
    <w:rsid w:val="009E1B55"/>
    <w:rsid w:val="009E27D7"/>
    <w:rsid w:val="009E4915"/>
    <w:rsid w:val="009E4F89"/>
    <w:rsid w:val="009E6776"/>
    <w:rsid w:val="009E70A6"/>
    <w:rsid w:val="009E7C6B"/>
    <w:rsid w:val="009F0001"/>
    <w:rsid w:val="009F0835"/>
    <w:rsid w:val="009F1C7B"/>
    <w:rsid w:val="009F1DD9"/>
    <w:rsid w:val="009F39B0"/>
    <w:rsid w:val="009F434C"/>
    <w:rsid w:val="009F680E"/>
    <w:rsid w:val="00A00071"/>
    <w:rsid w:val="00A01DA3"/>
    <w:rsid w:val="00A02151"/>
    <w:rsid w:val="00A026B2"/>
    <w:rsid w:val="00A034E4"/>
    <w:rsid w:val="00A046DB"/>
    <w:rsid w:val="00A05AEB"/>
    <w:rsid w:val="00A06D68"/>
    <w:rsid w:val="00A07B41"/>
    <w:rsid w:val="00A108E0"/>
    <w:rsid w:val="00A1113B"/>
    <w:rsid w:val="00A11470"/>
    <w:rsid w:val="00A121FC"/>
    <w:rsid w:val="00A139DC"/>
    <w:rsid w:val="00A14A8E"/>
    <w:rsid w:val="00A14FB3"/>
    <w:rsid w:val="00A176F0"/>
    <w:rsid w:val="00A17973"/>
    <w:rsid w:val="00A212E3"/>
    <w:rsid w:val="00A22164"/>
    <w:rsid w:val="00A22E1B"/>
    <w:rsid w:val="00A27E1D"/>
    <w:rsid w:val="00A30669"/>
    <w:rsid w:val="00A3172E"/>
    <w:rsid w:val="00A32812"/>
    <w:rsid w:val="00A32AC6"/>
    <w:rsid w:val="00A3409B"/>
    <w:rsid w:val="00A34562"/>
    <w:rsid w:val="00A34F0B"/>
    <w:rsid w:val="00A36239"/>
    <w:rsid w:val="00A379E4"/>
    <w:rsid w:val="00A37AA9"/>
    <w:rsid w:val="00A40009"/>
    <w:rsid w:val="00A41F3F"/>
    <w:rsid w:val="00A43B3C"/>
    <w:rsid w:val="00A4427A"/>
    <w:rsid w:val="00A450E2"/>
    <w:rsid w:val="00A46193"/>
    <w:rsid w:val="00A47802"/>
    <w:rsid w:val="00A4795B"/>
    <w:rsid w:val="00A47BD0"/>
    <w:rsid w:val="00A5053F"/>
    <w:rsid w:val="00A54515"/>
    <w:rsid w:val="00A54564"/>
    <w:rsid w:val="00A54FB3"/>
    <w:rsid w:val="00A56D55"/>
    <w:rsid w:val="00A63738"/>
    <w:rsid w:val="00A63883"/>
    <w:rsid w:val="00A63F70"/>
    <w:rsid w:val="00A650C6"/>
    <w:rsid w:val="00A65E7E"/>
    <w:rsid w:val="00A65FE0"/>
    <w:rsid w:val="00A71287"/>
    <w:rsid w:val="00A72C68"/>
    <w:rsid w:val="00A733E8"/>
    <w:rsid w:val="00A740F3"/>
    <w:rsid w:val="00A74B4F"/>
    <w:rsid w:val="00A767A9"/>
    <w:rsid w:val="00A7747B"/>
    <w:rsid w:val="00A775FA"/>
    <w:rsid w:val="00A81453"/>
    <w:rsid w:val="00A8170E"/>
    <w:rsid w:val="00A81F89"/>
    <w:rsid w:val="00A82A10"/>
    <w:rsid w:val="00A8346F"/>
    <w:rsid w:val="00A83639"/>
    <w:rsid w:val="00A844FB"/>
    <w:rsid w:val="00A84590"/>
    <w:rsid w:val="00A85A83"/>
    <w:rsid w:val="00A86907"/>
    <w:rsid w:val="00A86A95"/>
    <w:rsid w:val="00A914E9"/>
    <w:rsid w:val="00A92606"/>
    <w:rsid w:val="00A9299C"/>
    <w:rsid w:val="00A92EAC"/>
    <w:rsid w:val="00A93401"/>
    <w:rsid w:val="00A94AE9"/>
    <w:rsid w:val="00AA12F7"/>
    <w:rsid w:val="00AA2815"/>
    <w:rsid w:val="00AA2EB2"/>
    <w:rsid w:val="00AA2FF9"/>
    <w:rsid w:val="00AA34BD"/>
    <w:rsid w:val="00AA4495"/>
    <w:rsid w:val="00AA53FF"/>
    <w:rsid w:val="00AB213E"/>
    <w:rsid w:val="00AB2FD4"/>
    <w:rsid w:val="00AB316D"/>
    <w:rsid w:val="00AB34FD"/>
    <w:rsid w:val="00AB4051"/>
    <w:rsid w:val="00AB584F"/>
    <w:rsid w:val="00AC1DD5"/>
    <w:rsid w:val="00AC341F"/>
    <w:rsid w:val="00AC422B"/>
    <w:rsid w:val="00AC444D"/>
    <w:rsid w:val="00AC5BAA"/>
    <w:rsid w:val="00AC60BE"/>
    <w:rsid w:val="00AD0603"/>
    <w:rsid w:val="00AD15D8"/>
    <w:rsid w:val="00AD1C5C"/>
    <w:rsid w:val="00AD27C1"/>
    <w:rsid w:val="00AD44FA"/>
    <w:rsid w:val="00AD54E3"/>
    <w:rsid w:val="00AD5FD6"/>
    <w:rsid w:val="00AD6D3B"/>
    <w:rsid w:val="00AD7539"/>
    <w:rsid w:val="00AE110A"/>
    <w:rsid w:val="00AE1ABD"/>
    <w:rsid w:val="00AE3CBB"/>
    <w:rsid w:val="00AE3DE9"/>
    <w:rsid w:val="00AE4997"/>
    <w:rsid w:val="00AE5507"/>
    <w:rsid w:val="00AF1CD8"/>
    <w:rsid w:val="00AF2CA7"/>
    <w:rsid w:val="00AF37CD"/>
    <w:rsid w:val="00AF6408"/>
    <w:rsid w:val="00B01BD7"/>
    <w:rsid w:val="00B03674"/>
    <w:rsid w:val="00B05548"/>
    <w:rsid w:val="00B067FD"/>
    <w:rsid w:val="00B06B83"/>
    <w:rsid w:val="00B11EDF"/>
    <w:rsid w:val="00B12A97"/>
    <w:rsid w:val="00B14160"/>
    <w:rsid w:val="00B146AD"/>
    <w:rsid w:val="00B16BEA"/>
    <w:rsid w:val="00B21BFB"/>
    <w:rsid w:val="00B22438"/>
    <w:rsid w:val="00B25BA3"/>
    <w:rsid w:val="00B27800"/>
    <w:rsid w:val="00B278E5"/>
    <w:rsid w:val="00B306F8"/>
    <w:rsid w:val="00B30F38"/>
    <w:rsid w:val="00B32234"/>
    <w:rsid w:val="00B32448"/>
    <w:rsid w:val="00B35FFB"/>
    <w:rsid w:val="00B36A39"/>
    <w:rsid w:val="00B373F8"/>
    <w:rsid w:val="00B40C9A"/>
    <w:rsid w:val="00B43D9B"/>
    <w:rsid w:val="00B43FB6"/>
    <w:rsid w:val="00B450F9"/>
    <w:rsid w:val="00B52974"/>
    <w:rsid w:val="00B52DAB"/>
    <w:rsid w:val="00B53D17"/>
    <w:rsid w:val="00B55BB7"/>
    <w:rsid w:val="00B561A7"/>
    <w:rsid w:val="00B60FED"/>
    <w:rsid w:val="00B65762"/>
    <w:rsid w:val="00B66F59"/>
    <w:rsid w:val="00B67802"/>
    <w:rsid w:val="00B70D62"/>
    <w:rsid w:val="00B71803"/>
    <w:rsid w:val="00B730D8"/>
    <w:rsid w:val="00B74567"/>
    <w:rsid w:val="00B74838"/>
    <w:rsid w:val="00B75B99"/>
    <w:rsid w:val="00B770C7"/>
    <w:rsid w:val="00B77CD1"/>
    <w:rsid w:val="00B80360"/>
    <w:rsid w:val="00B80DE3"/>
    <w:rsid w:val="00B8173D"/>
    <w:rsid w:val="00B81A24"/>
    <w:rsid w:val="00B82160"/>
    <w:rsid w:val="00B82B76"/>
    <w:rsid w:val="00B83630"/>
    <w:rsid w:val="00B849ED"/>
    <w:rsid w:val="00B87CCD"/>
    <w:rsid w:val="00B87FD0"/>
    <w:rsid w:val="00B92208"/>
    <w:rsid w:val="00B9261E"/>
    <w:rsid w:val="00B95EAB"/>
    <w:rsid w:val="00BA13A8"/>
    <w:rsid w:val="00BA2D87"/>
    <w:rsid w:val="00BA564F"/>
    <w:rsid w:val="00BA66D6"/>
    <w:rsid w:val="00BA715F"/>
    <w:rsid w:val="00BB1545"/>
    <w:rsid w:val="00BB4732"/>
    <w:rsid w:val="00BB5025"/>
    <w:rsid w:val="00BB768B"/>
    <w:rsid w:val="00BC344B"/>
    <w:rsid w:val="00BC421C"/>
    <w:rsid w:val="00BC71B3"/>
    <w:rsid w:val="00BC7D3C"/>
    <w:rsid w:val="00BD1802"/>
    <w:rsid w:val="00BD2CB1"/>
    <w:rsid w:val="00BD3B0A"/>
    <w:rsid w:val="00BD3C40"/>
    <w:rsid w:val="00BD5236"/>
    <w:rsid w:val="00BD6D3C"/>
    <w:rsid w:val="00BE2B68"/>
    <w:rsid w:val="00BE437C"/>
    <w:rsid w:val="00BE7F4C"/>
    <w:rsid w:val="00BF0584"/>
    <w:rsid w:val="00BF0E0B"/>
    <w:rsid w:val="00BF1114"/>
    <w:rsid w:val="00BF38B6"/>
    <w:rsid w:val="00BF4710"/>
    <w:rsid w:val="00BF622D"/>
    <w:rsid w:val="00BF7B98"/>
    <w:rsid w:val="00C0052C"/>
    <w:rsid w:val="00C00DA1"/>
    <w:rsid w:val="00C01B15"/>
    <w:rsid w:val="00C02C8D"/>
    <w:rsid w:val="00C0529A"/>
    <w:rsid w:val="00C059D6"/>
    <w:rsid w:val="00C063CA"/>
    <w:rsid w:val="00C06F98"/>
    <w:rsid w:val="00C07077"/>
    <w:rsid w:val="00C1487C"/>
    <w:rsid w:val="00C1623E"/>
    <w:rsid w:val="00C17911"/>
    <w:rsid w:val="00C20555"/>
    <w:rsid w:val="00C20A5D"/>
    <w:rsid w:val="00C21B5A"/>
    <w:rsid w:val="00C23E02"/>
    <w:rsid w:val="00C242C4"/>
    <w:rsid w:val="00C246BA"/>
    <w:rsid w:val="00C26397"/>
    <w:rsid w:val="00C2725C"/>
    <w:rsid w:val="00C30360"/>
    <w:rsid w:val="00C31CDF"/>
    <w:rsid w:val="00C320E1"/>
    <w:rsid w:val="00C330FF"/>
    <w:rsid w:val="00C33B63"/>
    <w:rsid w:val="00C37101"/>
    <w:rsid w:val="00C4028E"/>
    <w:rsid w:val="00C4125B"/>
    <w:rsid w:val="00C43D58"/>
    <w:rsid w:val="00C448BC"/>
    <w:rsid w:val="00C45FCA"/>
    <w:rsid w:val="00C50A07"/>
    <w:rsid w:val="00C516EE"/>
    <w:rsid w:val="00C52718"/>
    <w:rsid w:val="00C55762"/>
    <w:rsid w:val="00C560B3"/>
    <w:rsid w:val="00C5651E"/>
    <w:rsid w:val="00C57551"/>
    <w:rsid w:val="00C57EB0"/>
    <w:rsid w:val="00C6001D"/>
    <w:rsid w:val="00C60C4C"/>
    <w:rsid w:val="00C61F1C"/>
    <w:rsid w:val="00C63441"/>
    <w:rsid w:val="00C63902"/>
    <w:rsid w:val="00C63D58"/>
    <w:rsid w:val="00C6467D"/>
    <w:rsid w:val="00C659BE"/>
    <w:rsid w:val="00C65FAB"/>
    <w:rsid w:val="00C679CC"/>
    <w:rsid w:val="00C71C32"/>
    <w:rsid w:val="00C75E5F"/>
    <w:rsid w:val="00C7687F"/>
    <w:rsid w:val="00C77B3A"/>
    <w:rsid w:val="00C80C67"/>
    <w:rsid w:val="00C8192F"/>
    <w:rsid w:val="00C83FD4"/>
    <w:rsid w:val="00C84EE1"/>
    <w:rsid w:val="00C85B87"/>
    <w:rsid w:val="00C863D4"/>
    <w:rsid w:val="00C8781C"/>
    <w:rsid w:val="00C90754"/>
    <w:rsid w:val="00C9328A"/>
    <w:rsid w:val="00C937D6"/>
    <w:rsid w:val="00C938C5"/>
    <w:rsid w:val="00C93EF3"/>
    <w:rsid w:val="00C94107"/>
    <w:rsid w:val="00C948C5"/>
    <w:rsid w:val="00C96549"/>
    <w:rsid w:val="00C97969"/>
    <w:rsid w:val="00CA0858"/>
    <w:rsid w:val="00CA0948"/>
    <w:rsid w:val="00CA0A4F"/>
    <w:rsid w:val="00CA51CA"/>
    <w:rsid w:val="00CA5C26"/>
    <w:rsid w:val="00CA7C5E"/>
    <w:rsid w:val="00CB3678"/>
    <w:rsid w:val="00CB3FF2"/>
    <w:rsid w:val="00CB50B6"/>
    <w:rsid w:val="00CC1371"/>
    <w:rsid w:val="00CC51BE"/>
    <w:rsid w:val="00CC535B"/>
    <w:rsid w:val="00CC581F"/>
    <w:rsid w:val="00CC6F5D"/>
    <w:rsid w:val="00CC78E4"/>
    <w:rsid w:val="00CC7D33"/>
    <w:rsid w:val="00CD0913"/>
    <w:rsid w:val="00CD1151"/>
    <w:rsid w:val="00CD1E82"/>
    <w:rsid w:val="00CD1E9B"/>
    <w:rsid w:val="00CD2F2B"/>
    <w:rsid w:val="00CD33B8"/>
    <w:rsid w:val="00CD3551"/>
    <w:rsid w:val="00CD3A79"/>
    <w:rsid w:val="00CD3C48"/>
    <w:rsid w:val="00CD6D74"/>
    <w:rsid w:val="00CD7190"/>
    <w:rsid w:val="00CE025F"/>
    <w:rsid w:val="00CE223A"/>
    <w:rsid w:val="00CE3DA9"/>
    <w:rsid w:val="00CE522A"/>
    <w:rsid w:val="00CE54A0"/>
    <w:rsid w:val="00CE63E9"/>
    <w:rsid w:val="00CF00F3"/>
    <w:rsid w:val="00CF164F"/>
    <w:rsid w:val="00CF17F5"/>
    <w:rsid w:val="00CF2D67"/>
    <w:rsid w:val="00CF4340"/>
    <w:rsid w:val="00CF4D2D"/>
    <w:rsid w:val="00CF5D70"/>
    <w:rsid w:val="00CF7D1A"/>
    <w:rsid w:val="00D00D96"/>
    <w:rsid w:val="00D021CE"/>
    <w:rsid w:val="00D027AE"/>
    <w:rsid w:val="00D04999"/>
    <w:rsid w:val="00D04C16"/>
    <w:rsid w:val="00D04D9A"/>
    <w:rsid w:val="00D104E4"/>
    <w:rsid w:val="00D12AFB"/>
    <w:rsid w:val="00D14484"/>
    <w:rsid w:val="00D152ED"/>
    <w:rsid w:val="00D15A47"/>
    <w:rsid w:val="00D162AC"/>
    <w:rsid w:val="00D179F1"/>
    <w:rsid w:val="00D21F01"/>
    <w:rsid w:val="00D2223A"/>
    <w:rsid w:val="00D223E7"/>
    <w:rsid w:val="00D240D7"/>
    <w:rsid w:val="00D25872"/>
    <w:rsid w:val="00D26108"/>
    <w:rsid w:val="00D318C9"/>
    <w:rsid w:val="00D31BC1"/>
    <w:rsid w:val="00D32282"/>
    <w:rsid w:val="00D33387"/>
    <w:rsid w:val="00D359EC"/>
    <w:rsid w:val="00D366BC"/>
    <w:rsid w:val="00D41B59"/>
    <w:rsid w:val="00D4340A"/>
    <w:rsid w:val="00D444BE"/>
    <w:rsid w:val="00D45D5C"/>
    <w:rsid w:val="00D46767"/>
    <w:rsid w:val="00D47995"/>
    <w:rsid w:val="00D50B98"/>
    <w:rsid w:val="00D526E6"/>
    <w:rsid w:val="00D5484A"/>
    <w:rsid w:val="00D55492"/>
    <w:rsid w:val="00D6129A"/>
    <w:rsid w:val="00D62C99"/>
    <w:rsid w:val="00D631EC"/>
    <w:rsid w:val="00D644C6"/>
    <w:rsid w:val="00D647E6"/>
    <w:rsid w:val="00D64D27"/>
    <w:rsid w:val="00D6563E"/>
    <w:rsid w:val="00D6770C"/>
    <w:rsid w:val="00D67D23"/>
    <w:rsid w:val="00D714A7"/>
    <w:rsid w:val="00D72CED"/>
    <w:rsid w:val="00D76B3B"/>
    <w:rsid w:val="00D76BC6"/>
    <w:rsid w:val="00D76DE3"/>
    <w:rsid w:val="00D813ED"/>
    <w:rsid w:val="00D829CD"/>
    <w:rsid w:val="00D849BF"/>
    <w:rsid w:val="00D84B7C"/>
    <w:rsid w:val="00D854C8"/>
    <w:rsid w:val="00D856A8"/>
    <w:rsid w:val="00D906B3"/>
    <w:rsid w:val="00D95BBD"/>
    <w:rsid w:val="00D95D6F"/>
    <w:rsid w:val="00D97FD4"/>
    <w:rsid w:val="00DA529A"/>
    <w:rsid w:val="00DA710E"/>
    <w:rsid w:val="00DB069D"/>
    <w:rsid w:val="00DB502A"/>
    <w:rsid w:val="00DB670F"/>
    <w:rsid w:val="00DB72F3"/>
    <w:rsid w:val="00DC0E9A"/>
    <w:rsid w:val="00DC1B07"/>
    <w:rsid w:val="00DC350F"/>
    <w:rsid w:val="00DC3BB4"/>
    <w:rsid w:val="00DC5D08"/>
    <w:rsid w:val="00DC678A"/>
    <w:rsid w:val="00DC7256"/>
    <w:rsid w:val="00DC76EA"/>
    <w:rsid w:val="00DD18BE"/>
    <w:rsid w:val="00DD32BE"/>
    <w:rsid w:val="00DD47C6"/>
    <w:rsid w:val="00DD6266"/>
    <w:rsid w:val="00DD676E"/>
    <w:rsid w:val="00DD7524"/>
    <w:rsid w:val="00DE1CB3"/>
    <w:rsid w:val="00DE3184"/>
    <w:rsid w:val="00DE535F"/>
    <w:rsid w:val="00DE5B3C"/>
    <w:rsid w:val="00DE7B58"/>
    <w:rsid w:val="00DF3F5F"/>
    <w:rsid w:val="00DF4B9C"/>
    <w:rsid w:val="00DF4D68"/>
    <w:rsid w:val="00DF6879"/>
    <w:rsid w:val="00E01C81"/>
    <w:rsid w:val="00E02519"/>
    <w:rsid w:val="00E04CF4"/>
    <w:rsid w:val="00E06337"/>
    <w:rsid w:val="00E068E6"/>
    <w:rsid w:val="00E0704E"/>
    <w:rsid w:val="00E10331"/>
    <w:rsid w:val="00E11947"/>
    <w:rsid w:val="00E12071"/>
    <w:rsid w:val="00E12D47"/>
    <w:rsid w:val="00E13192"/>
    <w:rsid w:val="00E15565"/>
    <w:rsid w:val="00E168AF"/>
    <w:rsid w:val="00E20743"/>
    <w:rsid w:val="00E21B61"/>
    <w:rsid w:val="00E2347A"/>
    <w:rsid w:val="00E23678"/>
    <w:rsid w:val="00E2453D"/>
    <w:rsid w:val="00E2483F"/>
    <w:rsid w:val="00E26DB9"/>
    <w:rsid w:val="00E26DD7"/>
    <w:rsid w:val="00E26EE2"/>
    <w:rsid w:val="00E27E6E"/>
    <w:rsid w:val="00E30EF1"/>
    <w:rsid w:val="00E31E5E"/>
    <w:rsid w:val="00E322D4"/>
    <w:rsid w:val="00E32DB5"/>
    <w:rsid w:val="00E3454A"/>
    <w:rsid w:val="00E35C91"/>
    <w:rsid w:val="00E40215"/>
    <w:rsid w:val="00E42005"/>
    <w:rsid w:val="00E42B12"/>
    <w:rsid w:val="00E43A13"/>
    <w:rsid w:val="00E4501D"/>
    <w:rsid w:val="00E47E21"/>
    <w:rsid w:val="00E51245"/>
    <w:rsid w:val="00E516DE"/>
    <w:rsid w:val="00E523CF"/>
    <w:rsid w:val="00E53662"/>
    <w:rsid w:val="00E5559A"/>
    <w:rsid w:val="00E559A9"/>
    <w:rsid w:val="00E55A1C"/>
    <w:rsid w:val="00E55AF6"/>
    <w:rsid w:val="00E56F72"/>
    <w:rsid w:val="00E605AB"/>
    <w:rsid w:val="00E61499"/>
    <w:rsid w:val="00E61EF3"/>
    <w:rsid w:val="00E62665"/>
    <w:rsid w:val="00E62757"/>
    <w:rsid w:val="00E635C3"/>
    <w:rsid w:val="00E6386E"/>
    <w:rsid w:val="00E63A51"/>
    <w:rsid w:val="00E67C56"/>
    <w:rsid w:val="00E70BC6"/>
    <w:rsid w:val="00E70EFB"/>
    <w:rsid w:val="00E71027"/>
    <w:rsid w:val="00E72499"/>
    <w:rsid w:val="00E72B4A"/>
    <w:rsid w:val="00E739BB"/>
    <w:rsid w:val="00E75A89"/>
    <w:rsid w:val="00E76AFA"/>
    <w:rsid w:val="00E80B96"/>
    <w:rsid w:val="00E80D3E"/>
    <w:rsid w:val="00E80DC4"/>
    <w:rsid w:val="00E81ED5"/>
    <w:rsid w:val="00E81FF8"/>
    <w:rsid w:val="00E8381B"/>
    <w:rsid w:val="00E85C2C"/>
    <w:rsid w:val="00E90D4C"/>
    <w:rsid w:val="00E94676"/>
    <w:rsid w:val="00E956FA"/>
    <w:rsid w:val="00EA1052"/>
    <w:rsid w:val="00EA2FAE"/>
    <w:rsid w:val="00EA3599"/>
    <w:rsid w:val="00EA6C9E"/>
    <w:rsid w:val="00EA6E53"/>
    <w:rsid w:val="00EA7CB3"/>
    <w:rsid w:val="00EB1211"/>
    <w:rsid w:val="00EB1B4E"/>
    <w:rsid w:val="00EB244C"/>
    <w:rsid w:val="00EB2D5D"/>
    <w:rsid w:val="00EB5B16"/>
    <w:rsid w:val="00EB5B6E"/>
    <w:rsid w:val="00EB5F06"/>
    <w:rsid w:val="00EB712F"/>
    <w:rsid w:val="00EB7412"/>
    <w:rsid w:val="00EB7AA6"/>
    <w:rsid w:val="00EB7E9A"/>
    <w:rsid w:val="00EC28DD"/>
    <w:rsid w:val="00EC4D34"/>
    <w:rsid w:val="00EC4F5F"/>
    <w:rsid w:val="00EC537C"/>
    <w:rsid w:val="00EC7C40"/>
    <w:rsid w:val="00ED300E"/>
    <w:rsid w:val="00ED3F3B"/>
    <w:rsid w:val="00ED404A"/>
    <w:rsid w:val="00ED4783"/>
    <w:rsid w:val="00ED7B18"/>
    <w:rsid w:val="00EE08F5"/>
    <w:rsid w:val="00EE1147"/>
    <w:rsid w:val="00EE1492"/>
    <w:rsid w:val="00EE1D81"/>
    <w:rsid w:val="00EE210C"/>
    <w:rsid w:val="00EE25FB"/>
    <w:rsid w:val="00EE26C7"/>
    <w:rsid w:val="00EE2FD0"/>
    <w:rsid w:val="00EE3304"/>
    <w:rsid w:val="00EE4FF9"/>
    <w:rsid w:val="00EE63BC"/>
    <w:rsid w:val="00EF08BC"/>
    <w:rsid w:val="00EF0D54"/>
    <w:rsid w:val="00EF1470"/>
    <w:rsid w:val="00EF17D7"/>
    <w:rsid w:val="00EF39B2"/>
    <w:rsid w:val="00EF428B"/>
    <w:rsid w:val="00EF445F"/>
    <w:rsid w:val="00EF481C"/>
    <w:rsid w:val="00EF4C5D"/>
    <w:rsid w:val="00EF64AF"/>
    <w:rsid w:val="00EF749E"/>
    <w:rsid w:val="00F00168"/>
    <w:rsid w:val="00F00D8F"/>
    <w:rsid w:val="00F022F9"/>
    <w:rsid w:val="00F030BC"/>
    <w:rsid w:val="00F071A0"/>
    <w:rsid w:val="00F117C1"/>
    <w:rsid w:val="00F11887"/>
    <w:rsid w:val="00F11D97"/>
    <w:rsid w:val="00F121A2"/>
    <w:rsid w:val="00F14CA4"/>
    <w:rsid w:val="00F1583B"/>
    <w:rsid w:val="00F161A6"/>
    <w:rsid w:val="00F20356"/>
    <w:rsid w:val="00F21CBB"/>
    <w:rsid w:val="00F21DFD"/>
    <w:rsid w:val="00F228CC"/>
    <w:rsid w:val="00F228F1"/>
    <w:rsid w:val="00F22950"/>
    <w:rsid w:val="00F24FB0"/>
    <w:rsid w:val="00F26026"/>
    <w:rsid w:val="00F26781"/>
    <w:rsid w:val="00F311C2"/>
    <w:rsid w:val="00F32000"/>
    <w:rsid w:val="00F32AE9"/>
    <w:rsid w:val="00F34BCB"/>
    <w:rsid w:val="00F355FD"/>
    <w:rsid w:val="00F35691"/>
    <w:rsid w:val="00F37571"/>
    <w:rsid w:val="00F37792"/>
    <w:rsid w:val="00F40EFB"/>
    <w:rsid w:val="00F4139E"/>
    <w:rsid w:val="00F41832"/>
    <w:rsid w:val="00F43287"/>
    <w:rsid w:val="00F44103"/>
    <w:rsid w:val="00F45184"/>
    <w:rsid w:val="00F454B4"/>
    <w:rsid w:val="00F45A9D"/>
    <w:rsid w:val="00F50B88"/>
    <w:rsid w:val="00F52742"/>
    <w:rsid w:val="00F53D8C"/>
    <w:rsid w:val="00F570A5"/>
    <w:rsid w:val="00F570B4"/>
    <w:rsid w:val="00F57880"/>
    <w:rsid w:val="00F61DB4"/>
    <w:rsid w:val="00F62AD7"/>
    <w:rsid w:val="00F6312B"/>
    <w:rsid w:val="00F636EF"/>
    <w:rsid w:val="00F64FAC"/>
    <w:rsid w:val="00F65BAE"/>
    <w:rsid w:val="00F671F4"/>
    <w:rsid w:val="00F67A7E"/>
    <w:rsid w:val="00F72DCC"/>
    <w:rsid w:val="00F7301C"/>
    <w:rsid w:val="00F76255"/>
    <w:rsid w:val="00F764D7"/>
    <w:rsid w:val="00F764ED"/>
    <w:rsid w:val="00F82E98"/>
    <w:rsid w:val="00F843DA"/>
    <w:rsid w:val="00F8690C"/>
    <w:rsid w:val="00F91504"/>
    <w:rsid w:val="00F93D1A"/>
    <w:rsid w:val="00F9441D"/>
    <w:rsid w:val="00F9447F"/>
    <w:rsid w:val="00F94977"/>
    <w:rsid w:val="00F94C4B"/>
    <w:rsid w:val="00F96260"/>
    <w:rsid w:val="00F96DF4"/>
    <w:rsid w:val="00FA0E63"/>
    <w:rsid w:val="00FA4CA2"/>
    <w:rsid w:val="00FA5045"/>
    <w:rsid w:val="00FA5C83"/>
    <w:rsid w:val="00FA6DD9"/>
    <w:rsid w:val="00FA780B"/>
    <w:rsid w:val="00FA7C2C"/>
    <w:rsid w:val="00FA7D0D"/>
    <w:rsid w:val="00FA7D68"/>
    <w:rsid w:val="00FB1775"/>
    <w:rsid w:val="00FB196D"/>
    <w:rsid w:val="00FB31A8"/>
    <w:rsid w:val="00FB55A6"/>
    <w:rsid w:val="00FB5AE9"/>
    <w:rsid w:val="00FB5E9B"/>
    <w:rsid w:val="00FB6095"/>
    <w:rsid w:val="00FB6FDA"/>
    <w:rsid w:val="00FC31DB"/>
    <w:rsid w:val="00FC4AA2"/>
    <w:rsid w:val="00FC4B2F"/>
    <w:rsid w:val="00FC54AA"/>
    <w:rsid w:val="00FC6958"/>
    <w:rsid w:val="00FD0A9B"/>
    <w:rsid w:val="00FD13DC"/>
    <w:rsid w:val="00FD1E7A"/>
    <w:rsid w:val="00FD4745"/>
    <w:rsid w:val="00FD7C9F"/>
    <w:rsid w:val="00FE1CA9"/>
    <w:rsid w:val="00FE2245"/>
    <w:rsid w:val="00FE73E4"/>
    <w:rsid w:val="00FE7942"/>
    <w:rsid w:val="00FE7FE9"/>
    <w:rsid w:val="00FF10A8"/>
    <w:rsid w:val="00FF6460"/>
    <w:rsid w:val="00FF743F"/>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D3C71D"/>
  <w15:docId w15:val="{7BE757B7-BC3D-42EB-AA17-4EE03D84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0C99"/>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150C99"/>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150C99"/>
    <w:pPr>
      <w:keepNext/>
      <w:spacing w:line="320" w:lineRule="exact"/>
      <w:outlineLvl w:val="1"/>
    </w:pPr>
    <w:rPr>
      <w:sz w:val="20"/>
      <w:szCs w:val="20"/>
      <w:u w:val="single"/>
    </w:rPr>
  </w:style>
  <w:style w:type="paragraph" w:styleId="Heading3">
    <w:name w:val="heading 3"/>
    <w:basedOn w:val="Normal"/>
    <w:next w:val="Normal"/>
    <w:link w:val="Heading3Char"/>
    <w:qFormat/>
    <w:rsid w:val="00150C99"/>
    <w:pPr>
      <w:keepNext/>
      <w:spacing w:line="380" w:lineRule="exact"/>
      <w:jc w:val="thaiDistribute"/>
      <w:outlineLvl w:val="2"/>
    </w:pPr>
    <w:rPr>
      <w:rFonts w:ascii="Angsana New" w:hAnsi="Angsana New"/>
      <w:b/>
      <w:bCs/>
      <w:sz w:val="32"/>
      <w:szCs w:val="32"/>
    </w:rPr>
  </w:style>
  <w:style w:type="paragraph" w:styleId="Heading4">
    <w:name w:val="heading 4"/>
    <w:basedOn w:val="Normal"/>
    <w:next w:val="Normal"/>
    <w:link w:val="Heading4Char"/>
    <w:qFormat/>
    <w:rsid w:val="00150C99"/>
    <w:pPr>
      <w:keepNext/>
      <w:spacing w:line="280" w:lineRule="exact"/>
      <w:jc w:val="center"/>
      <w:outlineLvl w:val="3"/>
    </w:pPr>
    <w:rPr>
      <w:rFonts w:ascii="Angsana New" w:hAnsi="Angsana New"/>
      <w:sz w:val="22"/>
      <w:szCs w:val="22"/>
    </w:rPr>
  </w:style>
  <w:style w:type="paragraph" w:styleId="Heading5">
    <w:name w:val="heading 5"/>
    <w:basedOn w:val="Normal"/>
    <w:next w:val="Normal"/>
    <w:link w:val="Heading5Char"/>
    <w:qFormat/>
    <w:rsid w:val="00150C99"/>
    <w:pPr>
      <w:keepNext/>
      <w:spacing w:line="300" w:lineRule="exact"/>
      <w:outlineLvl w:val="4"/>
    </w:pPr>
    <w:rPr>
      <w:rFonts w:ascii="Angsana New" w:hAnsi="Angsana New"/>
      <w:sz w:val="28"/>
      <w:szCs w:val="28"/>
    </w:rPr>
  </w:style>
  <w:style w:type="paragraph" w:styleId="Heading6">
    <w:name w:val="heading 6"/>
    <w:basedOn w:val="Normal"/>
    <w:next w:val="Normal"/>
    <w:link w:val="Heading6Char"/>
    <w:qFormat/>
    <w:rsid w:val="00150C99"/>
    <w:pPr>
      <w:keepNext/>
      <w:spacing w:before="120" w:after="240" w:line="380" w:lineRule="exact"/>
      <w:ind w:left="360"/>
      <w:jc w:val="both"/>
      <w:outlineLvl w:val="5"/>
    </w:pPr>
    <w:rPr>
      <w:rFonts w:ascii="Angsana New" w:hAnsi="Angsana New"/>
      <w:sz w:val="32"/>
      <w:szCs w:val="32"/>
      <w:u w:val="single"/>
    </w:rPr>
  </w:style>
  <w:style w:type="paragraph" w:styleId="Heading7">
    <w:name w:val="heading 7"/>
    <w:basedOn w:val="Normal"/>
    <w:next w:val="Normal"/>
    <w:link w:val="Heading7Char"/>
    <w:qFormat/>
    <w:rsid w:val="00150C99"/>
    <w:pPr>
      <w:keepNext/>
      <w:tabs>
        <w:tab w:val="left" w:pos="720"/>
        <w:tab w:val="center" w:pos="6120"/>
      </w:tabs>
      <w:spacing w:line="380" w:lineRule="exact"/>
      <w:jc w:val="thaiDistribute"/>
      <w:outlineLvl w:val="6"/>
    </w:pPr>
    <w:rPr>
      <w:rFonts w:ascii="Angsana New" w:hAnsi="Angsana New"/>
      <w:sz w:val="32"/>
      <w:szCs w:val="32"/>
    </w:rPr>
  </w:style>
  <w:style w:type="paragraph" w:styleId="Heading9">
    <w:name w:val="heading 9"/>
    <w:basedOn w:val="Normal"/>
    <w:next w:val="Normal"/>
    <w:link w:val="Heading9Char"/>
    <w:qFormat/>
    <w:rsid w:val="00150C99"/>
    <w:pPr>
      <w:keepNext/>
      <w:pBdr>
        <w:bottom w:val="single" w:sz="4" w:space="1" w:color="auto"/>
      </w:pBdr>
      <w:spacing w:line="300" w:lineRule="exact"/>
      <w:ind w:right="191"/>
      <w:jc w:val="center"/>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50C99"/>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150C99"/>
    <w:rPr>
      <w:rFonts w:ascii="Times New Roman" w:eastAsia="Times New Roman" w:hAnsi="Tms Rmn" w:cs="Angsana New"/>
      <w:sz w:val="20"/>
      <w:szCs w:val="20"/>
      <w:u w:val="single"/>
    </w:rPr>
  </w:style>
  <w:style w:type="character" w:customStyle="1" w:styleId="Heading3Char">
    <w:name w:val="Heading 3 Char"/>
    <w:basedOn w:val="DefaultParagraphFont"/>
    <w:link w:val="Heading3"/>
    <w:rsid w:val="00150C99"/>
    <w:rPr>
      <w:rFonts w:ascii="Angsana New" w:eastAsia="Times New Roman" w:hAnsi="Angsana New" w:cs="Angsana New"/>
      <w:b/>
      <w:bCs/>
      <w:sz w:val="32"/>
      <w:szCs w:val="32"/>
    </w:rPr>
  </w:style>
  <w:style w:type="character" w:customStyle="1" w:styleId="Heading4Char">
    <w:name w:val="Heading 4 Char"/>
    <w:basedOn w:val="DefaultParagraphFont"/>
    <w:link w:val="Heading4"/>
    <w:rsid w:val="00150C99"/>
    <w:rPr>
      <w:rFonts w:ascii="Angsana New" w:eastAsia="Times New Roman" w:hAnsi="Angsana New" w:cs="Angsana New"/>
      <w:szCs w:val="22"/>
    </w:rPr>
  </w:style>
  <w:style w:type="character" w:customStyle="1" w:styleId="Heading5Char">
    <w:name w:val="Heading 5 Char"/>
    <w:basedOn w:val="DefaultParagraphFont"/>
    <w:link w:val="Heading5"/>
    <w:rsid w:val="00150C99"/>
    <w:rPr>
      <w:rFonts w:ascii="Angsana New" w:eastAsia="Times New Roman" w:hAnsi="Angsana New" w:cs="Angsana New"/>
      <w:sz w:val="28"/>
    </w:rPr>
  </w:style>
  <w:style w:type="character" w:customStyle="1" w:styleId="Heading6Char">
    <w:name w:val="Heading 6 Char"/>
    <w:basedOn w:val="DefaultParagraphFont"/>
    <w:link w:val="Heading6"/>
    <w:rsid w:val="00150C99"/>
    <w:rPr>
      <w:rFonts w:ascii="Angsana New" w:eastAsia="Times New Roman" w:hAnsi="Angsana New" w:cs="Angsana New"/>
      <w:sz w:val="32"/>
      <w:szCs w:val="32"/>
      <w:u w:val="single"/>
    </w:rPr>
  </w:style>
  <w:style w:type="character" w:customStyle="1" w:styleId="Heading7Char">
    <w:name w:val="Heading 7 Char"/>
    <w:basedOn w:val="DefaultParagraphFont"/>
    <w:link w:val="Heading7"/>
    <w:rsid w:val="00150C99"/>
    <w:rPr>
      <w:rFonts w:ascii="Angsana New" w:eastAsia="Times New Roman" w:hAnsi="Angsana New" w:cs="Angsana New"/>
      <w:sz w:val="32"/>
      <w:szCs w:val="32"/>
    </w:rPr>
  </w:style>
  <w:style w:type="character" w:customStyle="1" w:styleId="Heading9Char">
    <w:name w:val="Heading 9 Char"/>
    <w:basedOn w:val="DefaultParagraphFont"/>
    <w:link w:val="Heading9"/>
    <w:rsid w:val="00150C99"/>
    <w:rPr>
      <w:rFonts w:ascii="Angsana New" w:eastAsia="Times New Roman" w:hAnsi="Angsana New" w:cs="Angsana New"/>
      <w:sz w:val="28"/>
    </w:rPr>
  </w:style>
  <w:style w:type="paragraph" w:styleId="Header">
    <w:name w:val="header"/>
    <w:basedOn w:val="Normal"/>
    <w:link w:val="HeaderChar"/>
    <w:rsid w:val="00150C99"/>
    <w:pPr>
      <w:tabs>
        <w:tab w:val="center" w:pos="4153"/>
        <w:tab w:val="right" w:pos="8306"/>
      </w:tabs>
    </w:pPr>
  </w:style>
  <w:style w:type="character" w:customStyle="1" w:styleId="HeaderChar">
    <w:name w:val="Header Char"/>
    <w:basedOn w:val="DefaultParagraphFont"/>
    <w:link w:val="Header"/>
    <w:rsid w:val="00150C99"/>
    <w:rPr>
      <w:rFonts w:ascii="Times New Roman" w:eastAsia="Times New Roman" w:hAnsi="Tms Rmn" w:cs="Angsana New"/>
      <w:sz w:val="24"/>
      <w:szCs w:val="24"/>
    </w:rPr>
  </w:style>
  <w:style w:type="paragraph" w:styleId="Footer">
    <w:name w:val="footer"/>
    <w:basedOn w:val="Normal"/>
    <w:link w:val="FooterChar"/>
    <w:uiPriority w:val="99"/>
    <w:rsid w:val="00150C99"/>
    <w:pPr>
      <w:tabs>
        <w:tab w:val="center" w:pos="4153"/>
        <w:tab w:val="right" w:pos="8306"/>
      </w:tabs>
    </w:pPr>
  </w:style>
  <w:style w:type="character" w:customStyle="1" w:styleId="FooterChar">
    <w:name w:val="Footer Char"/>
    <w:basedOn w:val="DefaultParagraphFont"/>
    <w:link w:val="Footer"/>
    <w:uiPriority w:val="99"/>
    <w:rsid w:val="00150C99"/>
    <w:rPr>
      <w:rFonts w:ascii="Times New Roman" w:eastAsia="Times New Roman" w:hAnsi="Tms Rmn" w:cs="Angsana New"/>
      <w:sz w:val="24"/>
      <w:szCs w:val="24"/>
    </w:rPr>
  </w:style>
  <w:style w:type="character" w:styleId="PageNumber">
    <w:name w:val="page number"/>
    <w:basedOn w:val="DefaultParagraphFont"/>
    <w:rsid w:val="00150C99"/>
  </w:style>
  <w:style w:type="paragraph" w:styleId="BodyTextIndent">
    <w:name w:val="Body Text Indent"/>
    <w:basedOn w:val="Normal"/>
    <w:link w:val="BodyTextIndentChar"/>
    <w:rsid w:val="00150C99"/>
    <w:pPr>
      <w:spacing w:before="120" w:after="240" w:line="380" w:lineRule="exact"/>
      <w:ind w:left="360" w:hanging="360"/>
      <w:jc w:val="both"/>
    </w:pPr>
    <w:rPr>
      <w:sz w:val="22"/>
      <w:szCs w:val="22"/>
    </w:rPr>
  </w:style>
  <w:style w:type="character" w:customStyle="1" w:styleId="BodyTextIndentChar">
    <w:name w:val="Body Text Indent Char"/>
    <w:basedOn w:val="DefaultParagraphFont"/>
    <w:link w:val="BodyTextIndent"/>
    <w:rsid w:val="00150C99"/>
    <w:rPr>
      <w:rFonts w:ascii="Times New Roman" w:eastAsia="Times New Roman" w:hAnsi="Tms Rmn" w:cs="Angsana New"/>
      <w:szCs w:val="22"/>
    </w:rPr>
  </w:style>
  <w:style w:type="paragraph" w:styleId="BodyTextIndent2">
    <w:name w:val="Body Text Indent 2"/>
    <w:basedOn w:val="Normal"/>
    <w:link w:val="BodyTextIndent2Char"/>
    <w:rsid w:val="00150C99"/>
    <w:pPr>
      <w:tabs>
        <w:tab w:val="left" w:pos="360"/>
      </w:tabs>
      <w:spacing w:before="120" w:after="120" w:line="380" w:lineRule="exact"/>
      <w:ind w:left="900" w:hanging="900"/>
      <w:jc w:val="thaiDistribute"/>
    </w:pPr>
    <w:rPr>
      <w:sz w:val="22"/>
      <w:szCs w:val="22"/>
    </w:rPr>
  </w:style>
  <w:style w:type="character" w:customStyle="1" w:styleId="BodyTextIndent2Char">
    <w:name w:val="Body Text Indent 2 Char"/>
    <w:basedOn w:val="DefaultParagraphFont"/>
    <w:link w:val="BodyTextIndent2"/>
    <w:rsid w:val="00150C99"/>
    <w:rPr>
      <w:rFonts w:ascii="Times New Roman" w:eastAsia="Times New Roman" w:hAnsi="Tms Rmn" w:cs="Angsana New"/>
      <w:szCs w:val="22"/>
    </w:rPr>
  </w:style>
  <w:style w:type="paragraph" w:styleId="BodyTextIndent3">
    <w:name w:val="Body Text Indent 3"/>
    <w:basedOn w:val="Normal"/>
    <w:link w:val="BodyTextIndent3Char"/>
    <w:rsid w:val="00150C99"/>
    <w:pPr>
      <w:spacing w:before="80" w:after="80" w:line="360" w:lineRule="exact"/>
      <w:ind w:left="360"/>
      <w:jc w:val="both"/>
    </w:pPr>
    <w:rPr>
      <w:sz w:val="22"/>
      <w:szCs w:val="22"/>
    </w:rPr>
  </w:style>
  <w:style w:type="character" w:customStyle="1" w:styleId="BodyTextIndent3Char">
    <w:name w:val="Body Text Indent 3 Char"/>
    <w:basedOn w:val="DefaultParagraphFont"/>
    <w:link w:val="BodyTextIndent3"/>
    <w:rsid w:val="00150C99"/>
    <w:rPr>
      <w:rFonts w:ascii="Times New Roman" w:eastAsia="Times New Roman" w:hAnsi="Tms Rmn" w:cs="Angsana New"/>
      <w:szCs w:val="22"/>
    </w:rPr>
  </w:style>
  <w:style w:type="paragraph" w:styleId="BodyText3">
    <w:name w:val="Body Text 3"/>
    <w:basedOn w:val="Normal"/>
    <w:link w:val="BodyText3Char"/>
    <w:rsid w:val="00150C99"/>
    <w:pPr>
      <w:tabs>
        <w:tab w:val="left" w:pos="540"/>
      </w:tabs>
      <w:spacing w:before="120" w:after="120" w:line="380" w:lineRule="exact"/>
      <w:jc w:val="thaiDistribute"/>
    </w:pPr>
    <w:rPr>
      <w:rFonts w:ascii="Angsana New" w:hAnsi="Angsana New"/>
      <w:sz w:val="32"/>
      <w:szCs w:val="32"/>
    </w:rPr>
  </w:style>
  <w:style w:type="character" w:customStyle="1" w:styleId="BodyText3Char">
    <w:name w:val="Body Text 3 Char"/>
    <w:basedOn w:val="DefaultParagraphFont"/>
    <w:link w:val="BodyText3"/>
    <w:rsid w:val="00150C99"/>
    <w:rPr>
      <w:rFonts w:ascii="Angsana New" w:eastAsia="Times New Roman" w:hAnsi="Angsana New" w:cs="Angsana New"/>
      <w:sz w:val="32"/>
      <w:szCs w:val="32"/>
    </w:rPr>
  </w:style>
  <w:style w:type="paragraph" w:styleId="Caption">
    <w:name w:val="caption"/>
    <w:basedOn w:val="Normal"/>
    <w:next w:val="Normal"/>
    <w:qFormat/>
    <w:rsid w:val="00150C99"/>
    <w:pPr>
      <w:tabs>
        <w:tab w:val="left" w:pos="1440"/>
      </w:tabs>
      <w:spacing w:before="240" w:after="120" w:line="380" w:lineRule="exact"/>
      <w:ind w:left="360" w:hanging="360"/>
      <w:jc w:val="thaiDistribute"/>
    </w:pPr>
    <w:rPr>
      <w:rFonts w:ascii="Angsana New" w:hAnsi="Angsana New"/>
      <w:sz w:val="32"/>
      <w:szCs w:val="32"/>
    </w:rPr>
  </w:style>
  <w:style w:type="paragraph" w:styleId="BodyText2">
    <w:name w:val="Body Text 2"/>
    <w:basedOn w:val="Normal"/>
    <w:link w:val="BodyText2Char"/>
    <w:rsid w:val="00150C99"/>
    <w:pPr>
      <w:spacing w:line="380" w:lineRule="exact"/>
      <w:jc w:val="both"/>
    </w:pPr>
    <w:rPr>
      <w:rFonts w:ascii="Angsana New" w:hAnsi="Angsana New"/>
      <w:sz w:val="32"/>
      <w:szCs w:val="32"/>
    </w:rPr>
  </w:style>
  <w:style w:type="character" w:customStyle="1" w:styleId="BodyText2Char">
    <w:name w:val="Body Text 2 Char"/>
    <w:basedOn w:val="DefaultParagraphFont"/>
    <w:link w:val="BodyText2"/>
    <w:rsid w:val="00150C99"/>
    <w:rPr>
      <w:rFonts w:ascii="Angsana New" w:eastAsia="Times New Roman" w:hAnsi="Angsana New" w:cs="Angsana New"/>
      <w:sz w:val="32"/>
      <w:szCs w:val="32"/>
    </w:rPr>
  </w:style>
  <w:style w:type="paragraph" w:styleId="BalloonText">
    <w:name w:val="Balloon Text"/>
    <w:basedOn w:val="Normal"/>
    <w:link w:val="BalloonTextChar"/>
    <w:semiHidden/>
    <w:rsid w:val="00150C99"/>
    <w:rPr>
      <w:rFonts w:ascii="Tahoma" w:hAnsi="Tahoma" w:cs="Tahoma"/>
      <w:sz w:val="16"/>
      <w:szCs w:val="16"/>
    </w:rPr>
  </w:style>
  <w:style w:type="character" w:customStyle="1" w:styleId="BalloonTextChar">
    <w:name w:val="Balloon Text Char"/>
    <w:basedOn w:val="DefaultParagraphFont"/>
    <w:link w:val="BalloonText"/>
    <w:semiHidden/>
    <w:rsid w:val="00150C99"/>
    <w:rPr>
      <w:rFonts w:ascii="Tahoma" w:eastAsia="Times New Roman" w:hAnsi="Tahoma" w:cs="Tahoma"/>
      <w:sz w:val="16"/>
      <w:szCs w:val="16"/>
    </w:rPr>
  </w:style>
  <w:style w:type="table" w:styleId="TableGrid">
    <w:name w:val="Table Grid"/>
    <w:basedOn w:val="TableNormal"/>
    <w:rsid w:val="00150C99"/>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50C99"/>
    <w:pPr>
      <w:tabs>
        <w:tab w:val="left" w:pos="0"/>
        <w:tab w:val="left" w:pos="1980"/>
        <w:tab w:val="center" w:pos="7740"/>
      </w:tabs>
      <w:overflowPunct/>
      <w:autoSpaceDE/>
      <w:autoSpaceDN/>
      <w:adjustRightInd/>
      <w:spacing w:before="120" w:after="120" w:line="380" w:lineRule="exact"/>
      <w:jc w:val="both"/>
      <w:textAlignment w:val="auto"/>
    </w:pPr>
    <w:rPr>
      <w:rFonts w:hAnsi="Times New Roman"/>
      <w:sz w:val="22"/>
      <w:szCs w:val="22"/>
    </w:rPr>
  </w:style>
  <w:style w:type="character" w:customStyle="1" w:styleId="BodyTextChar">
    <w:name w:val="Body Text Char"/>
    <w:basedOn w:val="DefaultParagraphFont"/>
    <w:link w:val="BodyText"/>
    <w:rsid w:val="00150C99"/>
    <w:rPr>
      <w:rFonts w:ascii="Times New Roman" w:eastAsia="Times New Roman" w:hAnsi="Times New Roman" w:cs="Angsana New"/>
      <w:szCs w:val="22"/>
    </w:rPr>
  </w:style>
  <w:style w:type="paragraph" w:customStyle="1" w:styleId="Char">
    <w:name w:val="Char"/>
    <w:basedOn w:val="Normal"/>
    <w:rsid w:val="00150C99"/>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2">
    <w:name w:val="List 2"/>
    <w:basedOn w:val="Normal"/>
    <w:rsid w:val="00150C99"/>
    <w:pPr>
      <w:ind w:left="566" w:hanging="283"/>
    </w:pPr>
  </w:style>
  <w:style w:type="paragraph" w:styleId="BlockText">
    <w:name w:val="Block Text"/>
    <w:basedOn w:val="Normal"/>
    <w:rsid w:val="00150C99"/>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ListParagraph">
    <w:name w:val="List Paragraph"/>
    <w:basedOn w:val="Normal"/>
    <w:uiPriority w:val="34"/>
    <w:qFormat/>
    <w:rsid w:val="00150C99"/>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customStyle="1" w:styleId="Char1">
    <w:name w:val="Char1"/>
    <w:basedOn w:val="Normal"/>
    <w:rsid w:val="0090354E"/>
    <w:pPr>
      <w:overflowPunct/>
      <w:autoSpaceDE/>
      <w:autoSpaceDN/>
      <w:adjustRightInd/>
      <w:spacing w:after="160" w:line="240" w:lineRule="exact"/>
      <w:textAlignment w:val="auto"/>
    </w:pPr>
    <w:rPr>
      <w:rFonts w:ascii="Verdana" w:hAnsi="Verdana"/>
      <w:sz w:val="20"/>
      <w:szCs w:val="20"/>
      <w:lang w:bidi="ar-SA"/>
    </w:rPr>
  </w:style>
  <w:style w:type="paragraph" w:styleId="DocumentMap">
    <w:name w:val="Document Map"/>
    <w:basedOn w:val="Normal"/>
    <w:link w:val="DocumentMapChar"/>
    <w:uiPriority w:val="99"/>
    <w:semiHidden/>
    <w:unhideWhenUsed/>
    <w:rsid w:val="000D668D"/>
    <w:rPr>
      <w:rFonts w:ascii="Tahoma" w:hAnsi="Tahoma"/>
      <w:sz w:val="16"/>
      <w:szCs w:val="20"/>
    </w:rPr>
  </w:style>
  <w:style w:type="character" w:customStyle="1" w:styleId="DocumentMapChar">
    <w:name w:val="Document Map Char"/>
    <w:basedOn w:val="DefaultParagraphFont"/>
    <w:link w:val="DocumentMap"/>
    <w:uiPriority w:val="99"/>
    <w:semiHidden/>
    <w:rsid w:val="000D668D"/>
    <w:rPr>
      <w:rFonts w:ascii="Tahoma" w:eastAsia="Times New Roman" w:hAnsi="Tahoma" w:cs="Angsana New"/>
      <w:sz w:val="16"/>
      <w:szCs w:val="20"/>
    </w:rPr>
  </w:style>
  <w:style w:type="character" w:customStyle="1" w:styleId="shorttext">
    <w:name w:val="short_text"/>
    <w:basedOn w:val="DefaultParagraphFont"/>
    <w:rsid w:val="00040CC7"/>
  </w:style>
  <w:style w:type="character" w:customStyle="1" w:styleId="hps">
    <w:name w:val="hps"/>
    <w:basedOn w:val="DefaultParagraphFont"/>
    <w:rsid w:val="00040CC7"/>
  </w:style>
  <w:style w:type="paragraph" w:customStyle="1" w:styleId="ps-000-normal">
    <w:name w:val="ps-000-normal"/>
    <w:basedOn w:val="Normal"/>
    <w:rsid w:val="00FE7942"/>
    <w:pPr>
      <w:overflowPunct/>
      <w:autoSpaceDE/>
      <w:autoSpaceDN/>
      <w:adjustRightInd/>
      <w:spacing w:after="120"/>
      <w:textAlignment w:val="auto"/>
    </w:pPr>
    <w:rPr>
      <w:rFonts w:ascii="Verdana" w:hAnsi="Verdana" w:cs="Times New Roman"/>
      <w:color w:val="000000"/>
      <w:sz w:val="20"/>
      <w:szCs w:val="20"/>
    </w:rPr>
  </w:style>
  <w:style w:type="paragraph" w:customStyle="1" w:styleId="CM2">
    <w:name w:val="CM2"/>
    <w:basedOn w:val="Normal"/>
    <w:next w:val="Normal"/>
    <w:uiPriority w:val="99"/>
    <w:rsid w:val="000C5CC2"/>
    <w:pPr>
      <w:widowControl w:val="0"/>
      <w:overflowPunct/>
      <w:textAlignment w:val="auto"/>
    </w:pPr>
    <w:rPr>
      <w:rFonts w:asciiTheme="minorHAnsi" w:eastAsiaTheme="minorEastAsia" w:hAnsiTheme="minorHAnsi" w:cs="EucrosiaUPC"/>
    </w:rPr>
  </w:style>
  <w:style w:type="paragraph" w:customStyle="1" w:styleId="Default">
    <w:name w:val="Default"/>
    <w:rsid w:val="000C5CC2"/>
    <w:pPr>
      <w:widowControl w:val="0"/>
      <w:autoSpaceDE w:val="0"/>
      <w:autoSpaceDN w:val="0"/>
      <w:adjustRightInd w:val="0"/>
      <w:spacing w:after="0" w:line="240" w:lineRule="auto"/>
    </w:pPr>
    <w:rPr>
      <w:rFonts w:ascii="EucrosiaUPC" w:eastAsiaTheme="minorEastAsia"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52546">
      <w:bodyDiv w:val="1"/>
      <w:marLeft w:val="0"/>
      <w:marRight w:val="0"/>
      <w:marTop w:val="0"/>
      <w:marBottom w:val="0"/>
      <w:divBdr>
        <w:top w:val="none" w:sz="0" w:space="0" w:color="auto"/>
        <w:left w:val="none" w:sz="0" w:space="0" w:color="auto"/>
        <w:bottom w:val="none" w:sz="0" w:space="0" w:color="auto"/>
        <w:right w:val="none" w:sz="0" w:space="0" w:color="auto"/>
      </w:divBdr>
    </w:div>
    <w:div w:id="317540315">
      <w:bodyDiv w:val="1"/>
      <w:marLeft w:val="0"/>
      <w:marRight w:val="0"/>
      <w:marTop w:val="0"/>
      <w:marBottom w:val="0"/>
      <w:divBdr>
        <w:top w:val="none" w:sz="0" w:space="0" w:color="auto"/>
        <w:left w:val="none" w:sz="0" w:space="0" w:color="auto"/>
        <w:bottom w:val="none" w:sz="0" w:space="0" w:color="auto"/>
        <w:right w:val="none" w:sz="0" w:space="0" w:color="auto"/>
      </w:divBdr>
    </w:div>
    <w:div w:id="413816904">
      <w:bodyDiv w:val="1"/>
      <w:marLeft w:val="0"/>
      <w:marRight w:val="0"/>
      <w:marTop w:val="0"/>
      <w:marBottom w:val="0"/>
      <w:divBdr>
        <w:top w:val="none" w:sz="0" w:space="0" w:color="auto"/>
        <w:left w:val="none" w:sz="0" w:space="0" w:color="auto"/>
        <w:bottom w:val="none" w:sz="0" w:space="0" w:color="auto"/>
        <w:right w:val="none" w:sz="0" w:space="0" w:color="auto"/>
      </w:divBdr>
    </w:div>
    <w:div w:id="863178782">
      <w:bodyDiv w:val="1"/>
      <w:marLeft w:val="0"/>
      <w:marRight w:val="0"/>
      <w:marTop w:val="0"/>
      <w:marBottom w:val="0"/>
      <w:divBdr>
        <w:top w:val="none" w:sz="0" w:space="0" w:color="auto"/>
        <w:left w:val="none" w:sz="0" w:space="0" w:color="auto"/>
        <w:bottom w:val="none" w:sz="0" w:space="0" w:color="auto"/>
        <w:right w:val="none" w:sz="0" w:space="0" w:color="auto"/>
      </w:divBdr>
    </w:div>
    <w:div w:id="1029524703">
      <w:bodyDiv w:val="1"/>
      <w:marLeft w:val="0"/>
      <w:marRight w:val="0"/>
      <w:marTop w:val="0"/>
      <w:marBottom w:val="0"/>
      <w:divBdr>
        <w:top w:val="none" w:sz="0" w:space="0" w:color="auto"/>
        <w:left w:val="none" w:sz="0" w:space="0" w:color="auto"/>
        <w:bottom w:val="none" w:sz="0" w:space="0" w:color="auto"/>
        <w:right w:val="none" w:sz="0" w:space="0" w:color="auto"/>
      </w:divBdr>
    </w:div>
    <w:div w:id="1087845109">
      <w:bodyDiv w:val="1"/>
      <w:marLeft w:val="0"/>
      <w:marRight w:val="0"/>
      <w:marTop w:val="0"/>
      <w:marBottom w:val="0"/>
      <w:divBdr>
        <w:top w:val="none" w:sz="0" w:space="0" w:color="auto"/>
        <w:left w:val="none" w:sz="0" w:space="0" w:color="auto"/>
        <w:bottom w:val="none" w:sz="0" w:space="0" w:color="auto"/>
        <w:right w:val="none" w:sz="0" w:space="0" w:color="auto"/>
      </w:divBdr>
      <w:divsChild>
        <w:div w:id="174198226">
          <w:marLeft w:val="0"/>
          <w:marRight w:val="0"/>
          <w:marTop w:val="0"/>
          <w:marBottom w:val="0"/>
          <w:divBdr>
            <w:top w:val="none" w:sz="0" w:space="0" w:color="auto"/>
            <w:left w:val="none" w:sz="0" w:space="0" w:color="auto"/>
            <w:bottom w:val="none" w:sz="0" w:space="0" w:color="auto"/>
            <w:right w:val="none" w:sz="0" w:space="0" w:color="auto"/>
          </w:divBdr>
          <w:divsChild>
            <w:div w:id="1845247688">
              <w:marLeft w:val="0"/>
              <w:marRight w:val="0"/>
              <w:marTop w:val="0"/>
              <w:marBottom w:val="0"/>
              <w:divBdr>
                <w:top w:val="none" w:sz="0" w:space="0" w:color="auto"/>
                <w:left w:val="none" w:sz="0" w:space="0" w:color="auto"/>
                <w:bottom w:val="none" w:sz="0" w:space="0" w:color="auto"/>
                <w:right w:val="none" w:sz="0" w:space="0" w:color="auto"/>
              </w:divBdr>
              <w:divsChild>
                <w:div w:id="1224829318">
                  <w:marLeft w:val="0"/>
                  <w:marRight w:val="0"/>
                  <w:marTop w:val="0"/>
                  <w:marBottom w:val="0"/>
                  <w:divBdr>
                    <w:top w:val="none" w:sz="0" w:space="0" w:color="auto"/>
                    <w:left w:val="none" w:sz="0" w:space="0" w:color="auto"/>
                    <w:bottom w:val="none" w:sz="0" w:space="0" w:color="auto"/>
                    <w:right w:val="none" w:sz="0" w:space="0" w:color="auto"/>
                  </w:divBdr>
                  <w:divsChild>
                    <w:div w:id="560406602">
                      <w:marLeft w:val="0"/>
                      <w:marRight w:val="0"/>
                      <w:marTop w:val="0"/>
                      <w:marBottom w:val="0"/>
                      <w:divBdr>
                        <w:top w:val="none" w:sz="0" w:space="0" w:color="auto"/>
                        <w:left w:val="none" w:sz="0" w:space="0" w:color="auto"/>
                        <w:bottom w:val="none" w:sz="0" w:space="0" w:color="auto"/>
                        <w:right w:val="none" w:sz="0" w:space="0" w:color="auto"/>
                      </w:divBdr>
                      <w:divsChild>
                        <w:div w:id="811941937">
                          <w:marLeft w:val="0"/>
                          <w:marRight w:val="0"/>
                          <w:marTop w:val="0"/>
                          <w:marBottom w:val="0"/>
                          <w:divBdr>
                            <w:top w:val="none" w:sz="0" w:space="0" w:color="auto"/>
                            <w:left w:val="none" w:sz="0" w:space="0" w:color="auto"/>
                            <w:bottom w:val="none" w:sz="0" w:space="0" w:color="auto"/>
                            <w:right w:val="none" w:sz="0" w:space="0" w:color="auto"/>
                          </w:divBdr>
                          <w:divsChild>
                            <w:div w:id="911545303">
                              <w:marLeft w:val="0"/>
                              <w:marRight w:val="0"/>
                              <w:marTop w:val="0"/>
                              <w:marBottom w:val="0"/>
                              <w:divBdr>
                                <w:top w:val="none" w:sz="0" w:space="0" w:color="auto"/>
                                <w:left w:val="none" w:sz="0" w:space="0" w:color="auto"/>
                                <w:bottom w:val="none" w:sz="0" w:space="0" w:color="auto"/>
                                <w:right w:val="none" w:sz="0" w:space="0" w:color="auto"/>
                              </w:divBdr>
                              <w:divsChild>
                                <w:div w:id="1820606653">
                                  <w:marLeft w:val="0"/>
                                  <w:marRight w:val="0"/>
                                  <w:marTop w:val="0"/>
                                  <w:marBottom w:val="0"/>
                                  <w:divBdr>
                                    <w:top w:val="none" w:sz="0" w:space="0" w:color="auto"/>
                                    <w:left w:val="none" w:sz="0" w:space="0" w:color="auto"/>
                                    <w:bottom w:val="none" w:sz="0" w:space="0" w:color="auto"/>
                                    <w:right w:val="none" w:sz="0" w:space="0" w:color="auto"/>
                                  </w:divBdr>
                                  <w:divsChild>
                                    <w:div w:id="956333711">
                                      <w:marLeft w:val="0"/>
                                      <w:marRight w:val="0"/>
                                      <w:marTop w:val="0"/>
                                      <w:marBottom w:val="0"/>
                                      <w:divBdr>
                                        <w:top w:val="single" w:sz="4" w:space="0" w:color="F5F5F5"/>
                                        <w:left w:val="single" w:sz="4" w:space="0" w:color="F5F5F5"/>
                                        <w:bottom w:val="single" w:sz="4" w:space="0" w:color="F5F5F5"/>
                                        <w:right w:val="single" w:sz="4" w:space="0" w:color="F5F5F5"/>
                                      </w:divBdr>
                                      <w:divsChild>
                                        <w:div w:id="1725759873">
                                          <w:marLeft w:val="0"/>
                                          <w:marRight w:val="0"/>
                                          <w:marTop w:val="0"/>
                                          <w:marBottom w:val="0"/>
                                          <w:divBdr>
                                            <w:top w:val="none" w:sz="0" w:space="0" w:color="auto"/>
                                            <w:left w:val="none" w:sz="0" w:space="0" w:color="auto"/>
                                            <w:bottom w:val="none" w:sz="0" w:space="0" w:color="auto"/>
                                            <w:right w:val="none" w:sz="0" w:space="0" w:color="auto"/>
                                          </w:divBdr>
                                          <w:divsChild>
                                            <w:div w:id="96177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6042000">
      <w:bodyDiv w:val="1"/>
      <w:marLeft w:val="0"/>
      <w:marRight w:val="0"/>
      <w:marTop w:val="0"/>
      <w:marBottom w:val="0"/>
      <w:divBdr>
        <w:top w:val="none" w:sz="0" w:space="0" w:color="auto"/>
        <w:left w:val="none" w:sz="0" w:space="0" w:color="auto"/>
        <w:bottom w:val="none" w:sz="0" w:space="0" w:color="auto"/>
        <w:right w:val="none" w:sz="0" w:space="0" w:color="auto"/>
      </w:divBdr>
    </w:div>
    <w:div w:id="1300039828">
      <w:bodyDiv w:val="1"/>
      <w:marLeft w:val="0"/>
      <w:marRight w:val="0"/>
      <w:marTop w:val="0"/>
      <w:marBottom w:val="0"/>
      <w:divBdr>
        <w:top w:val="none" w:sz="0" w:space="0" w:color="auto"/>
        <w:left w:val="none" w:sz="0" w:space="0" w:color="auto"/>
        <w:bottom w:val="none" w:sz="0" w:space="0" w:color="auto"/>
        <w:right w:val="none" w:sz="0" w:space="0" w:color="auto"/>
      </w:divBdr>
    </w:div>
    <w:div w:id="1718239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28815-AB57-4E8F-A75C-018A8A444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626</TotalTime>
  <Pages>10</Pages>
  <Words>2967</Words>
  <Characters>16914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19842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SSS</dc:creator>
  <cp:lastModifiedBy>Varangkana Vachira-angsana</cp:lastModifiedBy>
  <cp:revision>229</cp:revision>
  <cp:lastPrinted>2026-05-29T14:36:00Z</cp:lastPrinted>
  <dcterms:created xsi:type="dcterms:W3CDTF">2025-05-28T08:00:00Z</dcterms:created>
  <dcterms:modified xsi:type="dcterms:W3CDTF">2026-05-29T16:08:00Z</dcterms:modified>
</cp:coreProperties>
</file>