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cs/>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Default="00CE130B" w:rsidP="00CE130B">
      <w:pPr>
        <w:jc w:val="both"/>
        <w:rPr>
          <w:sz w:val="28"/>
          <w:szCs w:val="28"/>
        </w:rPr>
      </w:pPr>
    </w:p>
    <w:p w14:paraId="29D2FAA1" w14:textId="77777777" w:rsidR="005E7BEE" w:rsidRDefault="005E7BEE" w:rsidP="00CE130B">
      <w:pPr>
        <w:jc w:val="both"/>
        <w:rPr>
          <w:sz w:val="28"/>
          <w:szCs w:val="28"/>
        </w:rPr>
      </w:pPr>
    </w:p>
    <w:p w14:paraId="1150018C" w14:textId="77777777" w:rsidR="005E7BEE" w:rsidRDefault="005E7BEE" w:rsidP="00CE130B">
      <w:pPr>
        <w:jc w:val="both"/>
        <w:rPr>
          <w:sz w:val="28"/>
          <w:szCs w:val="28"/>
        </w:rPr>
      </w:pPr>
    </w:p>
    <w:p w14:paraId="4F927B02" w14:textId="77777777" w:rsidR="005E7BEE" w:rsidRPr="00EB316F" w:rsidRDefault="005E7BEE"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3DDB6E30" w14:textId="69C02071" w:rsidR="004D4E61" w:rsidRDefault="004D4E61" w:rsidP="004D4E61">
      <w:pPr>
        <w:jc w:val="center"/>
        <w:rPr>
          <w:rFonts w:eastAsia="SimSun"/>
          <w:sz w:val="28"/>
          <w:szCs w:val="28"/>
        </w:rPr>
      </w:pPr>
      <w:r w:rsidRPr="004D4E61">
        <w:rPr>
          <w:rFonts w:eastAsia="SimSun"/>
          <w:sz w:val="28"/>
          <w:szCs w:val="28"/>
        </w:rPr>
        <w:t>FINANCIAL STATEMENTS AND INDEPENDENT AUDITOR’S REPORT</w:t>
      </w:r>
    </w:p>
    <w:p w14:paraId="21496B52" w14:textId="343E24F6" w:rsidR="004D4E61" w:rsidRPr="004D4E61" w:rsidRDefault="00C66ED4" w:rsidP="004D4E61">
      <w:pPr>
        <w:jc w:val="center"/>
        <w:rPr>
          <w:rFonts w:eastAsia="SimSun"/>
          <w:sz w:val="28"/>
          <w:szCs w:val="28"/>
        </w:rPr>
      </w:pPr>
      <w:r w:rsidRPr="00C66ED4">
        <w:rPr>
          <w:sz w:val="28"/>
          <w:szCs w:val="28"/>
        </w:rPr>
        <w:t>CHO THAVEE PUBLIC COMPANY LIMITED AND ITS SUBSIDIARIES</w:t>
      </w:r>
      <w:r w:rsidR="00806552">
        <w:rPr>
          <w:sz w:val="28"/>
          <w:szCs w:val="28"/>
        </w:rPr>
        <w:br/>
      </w:r>
      <w:r w:rsidR="00446BAE" w:rsidRPr="00446BAE">
        <w:rPr>
          <w:rFonts w:eastAsia="SimSun"/>
          <w:sz w:val="28"/>
          <w:szCs w:val="28"/>
        </w:rPr>
        <w:t xml:space="preserve">FOR </w:t>
      </w:r>
      <w:r w:rsidR="004D4E61" w:rsidRPr="004D4E61">
        <w:rPr>
          <w:rFonts w:eastAsia="SimSun"/>
          <w:sz w:val="28"/>
          <w:szCs w:val="28"/>
        </w:rPr>
        <w:t>THE YEAR ENDED DECEMBER 31, 2025</w:t>
      </w:r>
    </w:p>
    <w:p w14:paraId="4038476A" w14:textId="18A6F512" w:rsidR="00446BAE" w:rsidRPr="00EB316F" w:rsidRDefault="00446BAE" w:rsidP="004D4E61">
      <w:pPr>
        <w:jc w:val="center"/>
        <w:rPr>
          <w:rFonts w:eastAsia="SimSun"/>
          <w:sz w:val="28"/>
          <w:szCs w:val="28"/>
        </w:rPr>
        <w:sectPr w:rsidR="00446BAE" w:rsidRPr="00EB316F" w:rsidSect="009C2920">
          <w:headerReference w:type="even" r:id="rId8"/>
          <w:headerReference w:type="default" r:id="rId9"/>
          <w:footerReference w:type="even" r:id="rId10"/>
          <w:footerReference w:type="default" r:id="rId11"/>
          <w:headerReference w:type="first" r:id="rId12"/>
          <w:footerReference w:type="first" r:id="rId13"/>
          <w:pgSz w:w="11906" w:h="16838" w:code="9"/>
          <w:pgMar w:top="1134" w:right="1196" w:bottom="227" w:left="1741" w:header="720" w:footer="720" w:gutter="0"/>
          <w:pgNumType w:start="1"/>
          <w:cols w:space="708"/>
          <w:titlePg/>
          <w:docGrid w:linePitch="435"/>
        </w:sect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4"/>
          <w:pgSz w:w="11906" w:h="16838" w:code="9"/>
          <w:pgMar w:top="1134" w:right="1196" w:bottom="227" w:left="1741" w:header="720" w:footer="386" w:gutter="0"/>
          <w:pgNumType w:start="1"/>
          <w:cols w:space="708"/>
          <w:titlePg/>
          <w:docGrid w:linePitch="435"/>
        </w:sectPr>
      </w:pPr>
    </w:p>
    <w:p w14:paraId="452766D2" w14:textId="2D6E9CD3" w:rsidR="00446BAE" w:rsidRPr="00446BAE" w:rsidRDefault="00B51EC7" w:rsidP="00141AA8">
      <w:pPr>
        <w:spacing w:before="240" w:after="120"/>
        <w:jc w:val="thaiDistribute"/>
        <w:rPr>
          <w:b/>
          <w:bCs/>
          <w:sz w:val="28"/>
          <w:szCs w:val="28"/>
        </w:rPr>
      </w:pPr>
      <w:r w:rsidRPr="00B51EC7">
        <w:rPr>
          <w:b/>
          <w:bCs/>
          <w:sz w:val="28"/>
          <w:szCs w:val="28"/>
        </w:rPr>
        <w:t>INDEPENDENT AUDITOR’S REPORT</w:t>
      </w:r>
    </w:p>
    <w:p w14:paraId="13A06886" w14:textId="1DC91656" w:rsidR="00446BAE" w:rsidRPr="00B51EC7" w:rsidRDefault="00446BAE" w:rsidP="00141AA8">
      <w:pPr>
        <w:spacing w:before="240" w:after="120"/>
        <w:jc w:val="thaiDistribute"/>
        <w:rPr>
          <w:b/>
          <w:bCs/>
          <w:sz w:val="28"/>
          <w:szCs w:val="28"/>
        </w:rPr>
      </w:pPr>
      <w:r w:rsidRPr="00B51EC7">
        <w:rPr>
          <w:b/>
          <w:bCs/>
          <w:sz w:val="28"/>
          <w:szCs w:val="28"/>
        </w:rPr>
        <w:t xml:space="preserve">To </w:t>
      </w:r>
      <w:r w:rsidR="00B51EC7" w:rsidRPr="00B51EC7">
        <w:rPr>
          <w:b/>
          <w:bCs/>
          <w:sz w:val="28"/>
          <w:szCs w:val="28"/>
        </w:rPr>
        <w:t xml:space="preserve">the Shareholders of </w:t>
      </w:r>
      <w:r w:rsidR="003B073C" w:rsidRPr="00B51EC7">
        <w:rPr>
          <w:b/>
          <w:bCs/>
          <w:sz w:val="28"/>
          <w:szCs w:val="28"/>
        </w:rPr>
        <w:t>Cho Thavee Public</w:t>
      </w:r>
      <w:r w:rsidR="00806552" w:rsidRPr="00B51EC7">
        <w:rPr>
          <w:b/>
          <w:bCs/>
          <w:sz w:val="28"/>
          <w:szCs w:val="28"/>
        </w:rPr>
        <w:t xml:space="preserve"> Company Limited</w:t>
      </w:r>
    </w:p>
    <w:p w14:paraId="4FE16CBD" w14:textId="4EE64BA1" w:rsidR="00B51EC7" w:rsidRPr="001C46AD" w:rsidRDefault="00B51EC7" w:rsidP="00141AA8">
      <w:pPr>
        <w:spacing w:before="240" w:after="120"/>
        <w:jc w:val="thaiDistribute"/>
        <w:rPr>
          <w:b/>
          <w:bCs/>
          <w:sz w:val="28"/>
          <w:szCs w:val="28"/>
        </w:rPr>
      </w:pPr>
      <w:r w:rsidRPr="001C46AD">
        <w:rPr>
          <w:b/>
          <w:bCs/>
          <w:sz w:val="28"/>
          <w:szCs w:val="28"/>
        </w:rPr>
        <w:t>Disclaimer of Opinion</w:t>
      </w:r>
    </w:p>
    <w:p w14:paraId="6C9859D3" w14:textId="1E80E487" w:rsidR="00DB0B7F" w:rsidRDefault="00DB0B7F" w:rsidP="00141AA8">
      <w:pPr>
        <w:spacing w:before="120" w:after="120"/>
        <w:jc w:val="thaiDistribute"/>
        <w:rPr>
          <w:color w:val="000000"/>
          <w:sz w:val="28"/>
          <w:szCs w:val="28"/>
        </w:rPr>
      </w:pPr>
      <w:r w:rsidRPr="00141AA8">
        <w:rPr>
          <w:color w:val="000000"/>
          <w:sz w:val="28"/>
          <w:szCs w:val="28"/>
        </w:rPr>
        <w:t xml:space="preserve">I </w:t>
      </w:r>
      <w:r w:rsidR="00D42626">
        <w:rPr>
          <w:color w:val="000000"/>
          <w:sz w:val="28"/>
          <w:szCs w:val="28"/>
        </w:rPr>
        <w:t>was engaged to</w:t>
      </w:r>
      <w:r w:rsidR="00964326" w:rsidRPr="00141AA8">
        <w:rPr>
          <w:color w:val="000000"/>
          <w:sz w:val="28"/>
          <w:szCs w:val="28"/>
        </w:rPr>
        <w:t xml:space="preserve"> </w:t>
      </w:r>
      <w:r w:rsidR="0060704D">
        <w:rPr>
          <w:color w:val="000000"/>
          <w:sz w:val="28"/>
          <w:szCs w:val="28"/>
        </w:rPr>
        <w:t>audit</w:t>
      </w:r>
      <w:r w:rsidRPr="00141AA8">
        <w:rPr>
          <w:color w:val="000000"/>
          <w:sz w:val="28"/>
          <w:szCs w:val="28"/>
        </w:rPr>
        <w:t xml:space="preserve"> the</w:t>
      </w:r>
      <w:r w:rsidR="0060704D">
        <w:rPr>
          <w:color w:val="000000"/>
          <w:sz w:val="28"/>
          <w:szCs w:val="28"/>
        </w:rPr>
        <w:t xml:space="preserve"> </w:t>
      </w:r>
      <w:r w:rsidR="002538BC" w:rsidRPr="002538BC">
        <w:rPr>
          <w:color w:val="000000"/>
          <w:sz w:val="28"/>
          <w:szCs w:val="28"/>
        </w:rPr>
        <w:t>consolidated and separate financial statements of Cho Thavee Public Company Limited and its subsidiaries (</w:t>
      </w:r>
      <w:r w:rsidR="001C46AD">
        <w:rPr>
          <w:color w:val="000000"/>
          <w:sz w:val="28"/>
          <w:szCs w:val="28"/>
        </w:rPr>
        <w:t>“</w:t>
      </w:r>
      <w:r w:rsidR="002538BC" w:rsidRPr="002538BC">
        <w:rPr>
          <w:color w:val="000000"/>
          <w:sz w:val="28"/>
          <w:szCs w:val="28"/>
        </w:rPr>
        <w:t>the</w:t>
      </w:r>
      <w:r w:rsidR="001C46AD">
        <w:rPr>
          <w:rFonts w:hint="cs"/>
          <w:color w:val="000000"/>
          <w:sz w:val="28"/>
          <w:szCs w:val="28"/>
          <w:cs/>
        </w:rPr>
        <w:t xml:space="preserve"> </w:t>
      </w:r>
      <w:r w:rsidR="002538BC" w:rsidRPr="002538BC">
        <w:rPr>
          <w:color w:val="000000"/>
          <w:sz w:val="28"/>
          <w:szCs w:val="28"/>
        </w:rPr>
        <w:t>Group</w:t>
      </w:r>
      <w:r w:rsidR="001C46AD">
        <w:rPr>
          <w:rFonts w:hint="cs"/>
          <w:color w:val="000000"/>
          <w:sz w:val="28"/>
          <w:szCs w:val="28"/>
          <w:cs/>
        </w:rPr>
        <w:t>”</w:t>
      </w:r>
      <w:r w:rsidR="002538BC" w:rsidRPr="002538BC">
        <w:rPr>
          <w:color w:val="000000"/>
          <w:sz w:val="28"/>
          <w:szCs w:val="28"/>
        </w:rPr>
        <w:t>) and of Cho Thavee Public Company Limited (</w:t>
      </w:r>
      <w:r w:rsidR="001C46AD">
        <w:rPr>
          <w:color w:val="000000"/>
          <w:sz w:val="28"/>
          <w:szCs w:val="28"/>
        </w:rPr>
        <w:t>“</w:t>
      </w:r>
      <w:r w:rsidR="002538BC" w:rsidRPr="002538BC">
        <w:rPr>
          <w:color w:val="000000"/>
          <w:sz w:val="28"/>
          <w:szCs w:val="28"/>
        </w:rPr>
        <w:t xml:space="preserve">the Company”), respectively, which comprise the consolidated and separate statements of financial position as at December 31, 2025,  </w:t>
      </w:r>
      <w:bookmarkStart w:id="0" w:name="_Hlk157774700"/>
      <w:r w:rsidR="002538BC" w:rsidRPr="002538BC">
        <w:rPr>
          <w:color w:val="000000"/>
          <w:sz w:val="28"/>
          <w:szCs w:val="28"/>
        </w:rPr>
        <w:t>the consolidated and separate statements of comprehensive income</w:t>
      </w:r>
      <w:bookmarkEnd w:id="0"/>
      <w:r w:rsidR="002538BC" w:rsidRPr="002538BC">
        <w:rPr>
          <w:color w:val="000000"/>
          <w:sz w:val="28"/>
          <w:szCs w:val="28"/>
        </w:rPr>
        <w:t>, statements of changes in shareholders’ equity and statements of cash flows for the year then ended, and notes to the financial statements, including material accounting policy information.</w:t>
      </w:r>
    </w:p>
    <w:p w14:paraId="79C762BF" w14:textId="3E222AEA" w:rsidR="007C63CD" w:rsidRPr="00461CE6" w:rsidRDefault="007C63CD" w:rsidP="00141AA8">
      <w:pPr>
        <w:spacing w:before="120" w:after="120"/>
        <w:jc w:val="thaiDistribute"/>
        <w:rPr>
          <w:color w:val="000000"/>
          <w:spacing w:val="-2"/>
          <w:sz w:val="28"/>
          <w:szCs w:val="28"/>
        </w:rPr>
      </w:pPr>
      <w:r w:rsidRPr="00461CE6">
        <w:rPr>
          <w:color w:val="000000"/>
          <w:spacing w:val="-2"/>
          <w:sz w:val="28"/>
          <w:szCs w:val="28"/>
        </w:rPr>
        <w:t>I do not express an opinion on the accompanying consolidated and separate financial statements. Because of the significance of the matters described in the Basis for Disclaimer of Opinion sections of my report, I have not been able to obtain sufficient appropriate audit evidence to provide a basis for an audit opinion on these consolidated and separate financial statements.</w:t>
      </w:r>
    </w:p>
    <w:p w14:paraId="609B1410" w14:textId="70AA00F6" w:rsidR="00E404CA" w:rsidRDefault="00E404CA" w:rsidP="00461CE6">
      <w:pPr>
        <w:spacing w:before="240"/>
        <w:jc w:val="thaiDistribute"/>
        <w:rPr>
          <w:b/>
          <w:bCs/>
          <w:sz w:val="28"/>
          <w:szCs w:val="28"/>
        </w:rPr>
      </w:pPr>
      <w:r w:rsidRPr="00141AA8">
        <w:rPr>
          <w:b/>
          <w:bCs/>
          <w:sz w:val="28"/>
          <w:szCs w:val="28"/>
        </w:rPr>
        <w:t>Basis for Disclaimer of Conclusion</w:t>
      </w:r>
    </w:p>
    <w:p w14:paraId="34A01DAB" w14:textId="59AE1132" w:rsidR="004A49E2" w:rsidRPr="004A49E2" w:rsidRDefault="004A49E2" w:rsidP="00461CE6">
      <w:pPr>
        <w:spacing w:before="120" w:after="120"/>
        <w:jc w:val="thaiDistribute"/>
        <w:rPr>
          <w:sz w:val="28"/>
          <w:szCs w:val="28"/>
        </w:rPr>
      </w:pPr>
      <w:r w:rsidRPr="004A49E2">
        <w:rPr>
          <w:sz w:val="28"/>
          <w:szCs w:val="28"/>
        </w:rPr>
        <w:t xml:space="preserve">As I have considered the conditions of uncertainty that had impact to the future outcomes the Group’s and the </w:t>
      </w:r>
      <w:r w:rsidR="00FC0378">
        <w:rPr>
          <w:sz w:val="28"/>
          <w:szCs w:val="28"/>
        </w:rPr>
        <w:t>C</w:t>
      </w:r>
      <w:r w:rsidRPr="004A49E2">
        <w:rPr>
          <w:sz w:val="28"/>
          <w:szCs w:val="28"/>
        </w:rPr>
        <w:t>ompany’s operations as follow:</w:t>
      </w:r>
    </w:p>
    <w:p w14:paraId="501B2055" w14:textId="151D2477" w:rsidR="00204028" w:rsidRPr="00B26CCB" w:rsidRDefault="00E404CA" w:rsidP="0061061D">
      <w:pPr>
        <w:pStyle w:val="ListParagraph"/>
        <w:numPr>
          <w:ilvl w:val="0"/>
          <w:numId w:val="7"/>
        </w:numPr>
        <w:spacing w:before="120" w:after="120" w:line="240" w:lineRule="auto"/>
        <w:ind w:left="360"/>
        <w:contextualSpacing w:val="0"/>
        <w:jc w:val="thaiDistribute"/>
        <w:rPr>
          <w:rFonts w:asciiTheme="majorBidi" w:hAnsiTheme="majorBidi" w:cstheme="majorBidi"/>
          <w:spacing w:val="-6"/>
          <w:sz w:val="28"/>
        </w:rPr>
      </w:pPr>
      <w:r w:rsidRPr="00B26CCB">
        <w:rPr>
          <w:rFonts w:asciiTheme="majorBidi" w:hAnsiTheme="majorBidi" w:cstheme="majorBidi"/>
          <w:spacing w:val="-6"/>
          <w:sz w:val="28"/>
        </w:rPr>
        <w:t xml:space="preserve">As disclosed in </w:t>
      </w:r>
      <w:r w:rsidR="00A3430F">
        <w:rPr>
          <w:rFonts w:asciiTheme="majorBidi" w:hAnsiTheme="majorBidi" w:cstheme="majorBidi"/>
          <w:spacing w:val="-6"/>
          <w:sz w:val="28"/>
        </w:rPr>
        <w:t>N</w:t>
      </w:r>
      <w:r w:rsidRPr="00B26CCB">
        <w:rPr>
          <w:rFonts w:asciiTheme="majorBidi" w:hAnsiTheme="majorBidi" w:cstheme="majorBidi"/>
          <w:spacing w:val="-6"/>
          <w:sz w:val="28"/>
        </w:rPr>
        <w:t xml:space="preserve">ote 2 to the financial statements, the use of going concern basis of accounting, which indicates that the Group and the Company incurred net loss for the </w:t>
      </w:r>
      <w:r w:rsidR="007C63CD" w:rsidRPr="00B26CCB">
        <w:rPr>
          <w:rFonts w:asciiTheme="majorBidi" w:hAnsiTheme="majorBidi" w:cstheme="majorBidi"/>
          <w:spacing w:val="-6"/>
          <w:sz w:val="28"/>
        </w:rPr>
        <w:t>year</w:t>
      </w:r>
      <w:r w:rsidRPr="00B26CCB">
        <w:rPr>
          <w:rFonts w:asciiTheme="majorBidi" w:hAnsiTheme="majorBidi" w:cstheme="majorBidi"/>
          <w:spacing w:val="-6"/>
          <w:sz w:val="28"/>
        </w:rPr>
        <w:t xml:space="preserve"> ended </w:t>
      </w:r>
      <w:r w:rsidR="007C63CD" w:rsidRPr="00B26CCB">
        <w:rPr>
          <w:rFonts w:asciiTheme="majorBidi" w:hAnsiTheme="majorBidi" w:cstheme="majorBidi"/>
          <w:spacing w:val="-6"/>
          <w:sz w:val="28"/>
        </w:rPr>
        <w:t>December</w:t>
      </w:r>
      <w:r w:rsidR="00B859DB" w:rsidRPr="00B26CCB">
        <w:rPr>
          <w:rFonts w:asciiTheme="majorBidi" w:hAnsiTheme="majorBidi" w:cstheme="majorBidi"/>
          <w:spacing w:val="-6"/>
          <w:sz w:val="28"/>
        </w:rPr>
        <w:t xml:space="preserve"> 3</w:t>
      </w:r>
      <w:r w:rsidR="007C63CD" w:rsidRPr="00B26CCB">
        <w:rPr>
          <w:rFonts w:asciiTheme="majorBidi" w:hAnsiTheme="majorBidi" w:cstheme="majorBidi"/>
          <w:spacing w:val="-6"/>
          <w:sz w:val="28"/>
        </w:rPr>
        <w:t>1</w:t>
      </w:r>
      <w:r w:rsidR="00546CB3" w:rsidRPr="00B26CCB">
        <w:rPr>
          <w:rFonts w:asciiTheme="majorBidi" w:hAnsiTheme="majorBidi" w:cstheme="majorBidi"/>
          <w:spacing w:val="-6"/>
          <w:sz w:val="28"/>
        </w:rPr>
        <w:t>, 2025</w:t>
      </w:r>
      <w:r w:rsidRPr="00B26CCB">
        <w:rPr>
          <w:rFonts w:asciiTheme="majorBidi" w:hAnsiTheme="majorBidi" w:cstheme="majorBidi"/>
          <w:spacing w:val="-6"/>
          <w:sz w:val="28"/>
        </w:rPr>
        <w:t xml:space="preserve">, amounting to Baht </w:t>
      </w:r>
      <w:r w:rsidR="007C63CD" w:rsidRPr="00B26CCB">
        <w:rPr>
          <w:rFonts w:asciiTheme="majorBidi" w:hAnsiTheme="majorBidi" w:cstheme="majorBidi"/>
          <w:spacing w:val="-6"/>
          <w:sz w:val="28"/>
        </w:rPr>
        <w:t>1,</w:t>
      </w:r>
      <w:r w:rsidR="001C46AD" w:rsidRPr="00B26CCB">
        <w:rPr>
          <w:rFonts w:asciiTheme="majorBidi" w:hAnsiTheme="majorBidi" w:cstheme="majorBidi"/>
          <w:spacing w:val="-6"/>
          <w:sz w:val="28"/>
        </w:rPr>
        <w:t>1</w:t>
      </w:r>
      <w:r w:rsidR="00554C60" w:rsidRPr="00B26CCB">
        <w:rPr>
          <w:rFonts w:asciiTheme="majorBidi" w:hAnsiTheme="majorBidi" w:cstheme="majorBidi"/>
          <w:spacing w:val="-6"/>
          <w:sz w:val="28"/>
        </w:rPr>
        <w:t xml:space="preserve">10 </w:t>
      </w:r>
      <w:r w:rsidRPr="00B26CCB">
        <w:rPr>
          <w:rFonts w:asciiTheme="majorBidi" w:hAnsiTheme="majorBidi" w:cstheme="majorBidi"/>
          <w:spacing w:val="-6"/>
          <w:sz w:val="28"/>
        </w:rPr>
        <w:t xml:space="preserve">million and Baht </w:t>
      </w:r>
      <w:r w:rsidR="006A39B4" w:rsidRPr="00B26CCB">
        <w:rPr>
          <w:rFonts w:asciiTheme="majorBidi" w:hAnsiTheme="majorBidi" w:cstheme="majorBidi"/>
          <w:spacing w:val="-6"/>
          <w:sz w:val="28"/>
        </w:rPr>
        <w:t>1,</w:t>
      </w:r>
      <w:r w:rsidR="007C63CD" w:rsidRPr="00B26CCB">
        <w:rPr>
          <w:rFonts w:asciiTheme="majorBidi" w:hAnsiTheme="majorBidi" w:cstheme="majorBidi"/>
          <w:spacing w:val="-6"/>
          <w:sz w:val="28"/>
        </w:rPr>
        <w:t>3</w:t>
      </w:r>
      <w:r w:rsidR="001C46AD" w:rsidRPr="00B26CCB">
        <w:rPr>
          <w:rFonts w:asciiTheme="majorBidi" w:hAnsiTheme="majorBidi" w:cstheme="majorBidi"/>
          <w:spacing w:val="-6"/>
          <w:sz w:val="28"/>
        </w:rPr>
        <w:t>9</w:t>
      </w:r>
      <w:r w:rsidR="00554C60" w:rsidRPr="00B26CCB">
        <w:rPr>
          <w:rFonts w:asciiTheme="majorBidi" w:hAnsiTheme="majorBidi" w:cstheme="majorBidi"/>
          <w:spacing w:val="-6"/>
          <w:sz w:val="28"/>
        </w:rPr>
        <w:t>1</w:t>
      </w:r>
      <w:r w:rsidRPr="00B26CCB">
        <w:rPr>
          <w:rFonts w:asciiTheme="majorBidi" w:hAnsiTheme="majorBidi" w:cstheme="majorBidi"/>
          <w:spacing w:val="-6"/>
          <w:sz w:val="28"/>
        </w:rPr>
        <w:t xml:space="preserve"> million, respectively. As of that date, the Group and the Company had deficits of Baht </w:t>
      </w:r>
      <w:r w:rsidR="000615C4" w:rsidRPr="00B26CCB">
        <w:rPr>
          <w:rFonts w:asciiTheme="majorBidi" w:hAnsiTheme="majorBidi" w:cstheme="majorBidi"/>
          <w:spacing w:val="-6"/>
          <w:sz w:val="28"/>
        </w:rPr>
        <w:t>3,</w:t>
      </w:r>
      <w:r w:rsidR="00EA67C0" w:rsidRPr="00B26CCB">
        <w:rPr>
          <w:rFonts w:asciiTheme="majorBidi" w:hAnsiTheme="majorBidi" w:cstheme="majorBidi"/>
          <w:spacing w:val="-6"/>
          <w:sz w:val="28"/>
        </w:rPr>
        <w:t>9</w:t>
      </w:r>
      <w:r w:rsidR="00554C60" w:rsidRPr="00B26CCB">
        <w:rPr>
          <w:rFonts w:asciiTheme="majorBidi" w:hAnsiTheme="majorBidi" w:cstheme="majorBidi"/>
          <w:spacing w:val="-6"/>
          <w:sz w:val="28"/>
        </w:rPr>
        <w:t>92</w:t>
      </w:r>
      <w:r w:rsidR="00EA67C0" w:rsidRPr="00B26CCB">
        <w:rPr>
          <w:rFonts w:asciiTheme="majorBidi" w:hAnsiTheme="majorBidi" w:cstheme="majorBidi"/>
          <w:spacing w:val="-6"/>
          <w:sz w:val="28"/>
        </w:rPr>
        <w:t xml:space="preserve"> </w:t>
      </w:r>
      <w:r w:rsidRPr="00B26CCB">
        <w:rPr>
          <w:rFonts w:asciiTheme="majorBidi" w:hAnsiTheme="majorBidi" w:cstheme="majorBidi"/>
          <w:spacing w:val="-6"/>
          <w:sz w:val="28"/>
        </w:rPr>
        <w:t xml:space="preserve">million and Baht </w:t>
      </w:r>
      <w:r w:rsidR="00776D69" w:rsidRPr="00B26CCB">
        <w:rPr>
          <w:rFonts w:asciiTheme="majorBidi" w:hAnsiTheme="majorBidi" w:cstheme="majorBidi"/>
          <w:spacing w:val="-6"/>
          <w:sz w:val="28"/>
        </w:rPr>
        <w:t>3,</w:t>
      </w:r>
      <w:r w:rsidR="007C63CD" w:rsidRPr="00B26CCB">
        <w:rPr>
          <w:rFonts w:asciiTheme="majorBidi" w:hAnsiTheme="majorBidi" w:cstheme="majorBidi"/>
          <w:spacing w:val="-6"/>
          <w:sz w:val="28"/>
        </w:rPr>
        <w:t>9</w:t>
      </w:r>
      <w:r w:rsidR="00554C60" w:rsidRPr="00B26CCB">
        <w:rPr>
          <w:rFonts w:asciiTheme="majorBidi" w:hAnsiTheme="majorBidi" w:cstheme="majorBidi"/>
          <w:spacing w:val="-6"/>
          <w:sz w:val="28"/>
        </w:rPr>
        <w:t>90</w:t>
      </w:r>
      <w:r w:rsidRPr="00B26CCB">
        <w:rPr>
          <w:rFonts w:asciiTheme="majorBidi" w:hAnsiTheme="majorBidi" w:cstheme="majorBidi"/>
          <w:spacing w:val="-6"/>
          <w:sz w:val="28"/>
        </w:rPr>
        <w:t xml:space="preserve"> million, </w:t>
      </w:r>
      <w:r w:rsidR="00EA67C0" w:rsidRPr="00B26CCB">
        <w:rPr>
          <w:rFonts w:asciiTheme="majorBidi" w:hAnsiTheme="majorBidi" w:cstheme="majorBidi"/>
          <w:spacing w:val="-6"/>
          <w:sz w:val="28"/>
        </w:rPr>
        <w:t>capital deficiencies of Baht 1,1</w:t>
      </w:r>
      <w:r w:rsidR="00554C60" w:rsidRPr="00B26CCB">
        <w:rPr>
          <w:rFonts w:asciiTheme="majorBidi" w:hAnsiTheme="majorBidi" w:cstheme="majorBidi"/>
          <w:spacing w:val="-6"/>
          <w:sz w:val="28"/>
        </w:rPr>
        <w:t>42</w:t>
      </w:r>
      <w:r w:rsidR="00EA67C0" w:rsidRPr="00B26CCB">
        <w:rPr>
          <w:rFonts w:asciiTheme="majorBidi" w:hAnsiTheme="majorBidi" w:cstheme="majorBidi"/>
          <w:spacing w:val="-6"/>
          <w:sz w:val="28"/>
        </w:rPr>
        <w:t xml:space="preserve"> million and Baht 1,1</w:t>
      </w:r>
      <w:r w:rsidR="00554C60" w:rsidRPr="00B26CCB">
        <w:rPr>
          <w:rFonts w:asciiTheme="majorBidi" w:hAnsiTheme="majorBidi" w:cstheme="majorBidi"/>
          <w:spacing w:val="-6"/>
          <w:sz w:val="28"/>
        </w:rPr>
        <w:t>42</w:t>
      </w:r>
      <w:r w:rsidR="00EA67C0" w:rsidRPr="00B26CCB">
        <w:rPr>
          <w:rFonts w:asciiTheme="majorBidi" w:hAnsiTheme="majorBidi" w:cstheme="majorBidi"/>
          <w:spacing w:val="-6"/>
          <w:sz w:val="28"/>
        </w:rPr>
        <w:t xml:space="preserve"> million, and current liabilities exceeding current assets of Baht 1,8</w:t>
      </w:r>
      <w:r w:rsidR="001C46AD" w:rsidRPr="00B26CCB">
        <w:rPr>
          <w:rFonts w:asciiTheme="majorBidi" w:hAnsiTheme="majorBidi" w:cstheme="majorBidi"/>
          <w:spacing w:val="-6"/>
          <w:sz w:val="28"/>
        </w:rPr>
        <w:t>7</w:t>
      </w:r>
      <w:r w:rsidR="00554C60" w:rsidRPr="00B26CCB">
        <w:rPr>
          <w:rFonts w:asciiTheme="majorBidi" w:hAnsiTheme="majorBidi" w:cstheme="majorBidi"/>
          <w:spacing w:val="-6"/>
          <w:sz w:val="28"/>
        </w:rPr>
        <w:t>8</w:t>
      </w:r>
      <w:r w:rsidR="00EA67C0" w:rsidRPr="00B26CCB">
        <w:rPr>
          <w:rFonts w:asciiTheme="majorBidi" w:hAnsiTheme="majorBidi" w:cstheme="majorBidi"/>
          <w:spacing w:val="-6"/>
          <w:sz w:val="28"/>
        </w:rPr>
        <w:t xml:space="preserve"> million and Baht 1,8</w:t>
      </w:r>
      <w:r w:rsidR="001C46AD" w:rsidRPr="00B26CCB">
        <w:rPr>
          <w:rFonts w:asciiTheme="majorBidi" w:hAnsiTheme="majorBidi" w:cstheme="majorBidi"/>
          <w:spacing w:val="-6"/>
          <w:sz w:val="28"/>
        </w:rPr>
        <w:t>5</w:t>
      </w:r>
      <w:r w:rsidR="00554C60" w:rsidRPr="00B26CCB">
        <w:rPr>
          <w:rFonts w:asciiTheme="majorBidi" w:hAnsiTheme="majorBidi" w:cstheme="majorBidi"/>
          <w:spacing w:val="-6"/>
          <w:sz w:val="28"/>
        </w:rPr>
        <w:t>5</w:t>
      </w:r>
      <w:r w:rsidR="00EA67C0" w:rsidRPr="00B26CCB">
        <w:rPr>
          <w:rFonts w:asciiTheme="majorBidi" w:hAnsiTheme="majorBidi" w:cstheme="majorBidi"/>
          <w:spacing w:val="-6"/>
          <w:sz w:val="28"/>
        </w:rPr>
        <w:t xml:space="preserve"> million, respectively.</w:t>
      </w:r>
    </w:p>
    <w:p w14:paraId="7DAC5192" w14:textId="39AF98EE" w:rsidR="00554C60" w:rsidRPr="00B26CCB" w:rsidRDefault="00554C60" w:rsidP="0061061D">
      <w:pPr>
        <w:pStyle w:val="ListParagraph"/>
        <w:numPr>
          <w:ilvl w:val="0"/>
          <w:numId w:val="7"/>
        </w:numPr>
        <w:spacing w:before="120" w:after="120" w:line="240" w:lineRule="auto"/>
        <w:ind w:left="360"/>
        <w:contextualSpacing w:val="0"/>
        <w:jc w:val="thaiDistribute"/>
        <w:rPr>
          <w:rFonts w:asciiTheme="majorBidi" w:hAnsiTheme="majorBidi" w:cstheme="majorBidi"/>
          <w:spacing w:val="-2"/>
          <w:sz w:val="28"/>
        </w:rPr>
      </w:pPr>
      <w:r w:rsidRPr="00B26CCB">
        <w:rPr>
          <w:rFonts w:asciiTheme="majorBidi" w:hAnsiTheme="majorBidi" w:cstheme="majorBidi"/>
          <w:spacing w:val="-2"/>
          <w:sz w:val="28"/>
        </w:rPr>
        <w:t xml:space="preserve">As disclosed in Note </w:t>
      </w:r>
      <w:r w:rsidRPr="00B26CCB">
        <w:rPr>
          <w:rFonts w:asciiTheme="majorBidi" w:hAnsiTheme="majorBidi" w:cstheme="majorBidi"/>
          <w:spacing w:val="-2"/>
          <w:sz w:val="28"/>
          <w:cs/>
        </w:rPr>
        <w:t xml:space="preserve">27.4.1 </w:t>
      </w:r>
      <w:r w:rsidRPr="00B26CCB">
        <w:rPr>
          <w:rFonts w:asciiTheme="majorBidi" w:hAnsiTheme="majorBidi" w:cstheme="majorBidi"/>
          <w:spacing w:val="-2"/>
          <w:sz w:val="28"/>
        </w:rPr>
        <w:t xml:space="preserve">to the financial statements, in September </w:t>
      </w:r>
      <w:r w:rsidRPr="00B26CCB">
        <w:rPr>
          <w:rFonts w:asciiTheme="majorBidi" w:hAnsiTheme="majorBidi" w:cstheme="majorBidi"/>
          <w:spacing w:val="-2"/>
          <w:sz w:val="28"/>
          <w:cs/>
        </w:rPr>
        <w:t>2024</w:t>
      </w:r>
      <w:r w:rsidRPr="00B26CCB">
        <w:rPr>
          <w:rFonts w:asciiTheme="majorBidi" w:hAnsiTheme="majorBidi" w:cstheme="majorBidi"/>
          <w:spacing w:val="-2"/>
          <w:sz w:val="28"/>
        </w:rPr>
        <w:t>, the first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December 31, 2025, the outstanding debt, including default interest, amounted to Baht 134</w:t>
      </w:r>
      <w:r w:rsidRPr="00B26CCB">
        <w:rPr>
          <w:rFonts w:asciiTheme="majorBidi" w:hAnsiTheme="majorBidi" w:cstheme="majorBidi"/>
          <w:spacing w:val="-2"/>
          <w:sz w:val="28"/>
          <w:cs/>
        </w:rPr>
        <w:t xml:space="preserve"> </w:t>
      </w:r>
      <w:r w:rsidRPr="00B26CCB">
        <w:rPr>
          <w:rFonts w:asciiTheme="majorBidi" w:hAnsiTheme="majorBidi" w:cstheme="majorBidi"/>
          <w:spacing w:val="-2"/>
          <w:sz w:val="28"/>
        </w:rPr>
        <w:t xml:space="preserve">million and was presented as current liabilities. In September 2025, the Company entered into a compromise agreement with the financial institution to repay the outstanding debt by installments, with the first installment due in December </w:t>
      </w:r>
      <w:r w:rsidRPr="00B26CCB">
        <w:rPr>
          <w:rFonts w:asciiTheme="majorBidi" w:hAnsiTheme="majorBidi" w:cstheme="majorBidi"/>
          <w:spacing w:val="-2"/>
          <w:sz w:val="28"/>
          <w:cs/>
        </w:rPr>
        <w:t xml:space="preserve">2025 </w:t>
      </w:r>
      <w:r w:rsidRPr="00B26CCB">
        <w:rPr>
          <w:rFonts w:asciiTheme="majorBidi" w:hAnsiTheme="majorBidi" w:cstheme="majorBidi"/>
          <w:spacing w:val="-2"/>
          <w:sz w:val="28"/>
        </w:rPr>
        <w:t xml:space="preserve">and </w:t>
      </w:r>
      <w:r w:rsidRPr="00B26CCB">
        <w:rPr>
          <w:rFonts w:asciiTheme="majorBidi" w:hAnsiTheme="majorBidi" w:cstheme="majorBidi"/>
          <w:spacing w:val="-2"/>
          <w:sz w:val="28"/>
        </w:rPr>
        <w:lastRenderedPageBreak/>
        <w:t>the outstanding balance to be fully settled within one year from the date of the compromise agreement. As of December 31, 2025, the Company had made partial repayments but had not fully complied with the terms of the compromise agreement and is currently in the process of renegotiating the compromise agreement with the financial institution.</w:t>
      </w:r>
    </w:p>
    <w:p w14:paraId="0636E0AC" w14:textId="1D3CA781" w:rsidR="0061061D" w:rsidRPr="00B26CCB" w:rsidRDefault="0061061D" w:rsidP="0061061D">
      <w:pPr>
        <w:pStyle w:val="ListParagraph"/>
        <w:numPr>
          <w:ilvl w:val="0"/>
          <w:numId w:val="7"/>
        </w:numPr>
        <w:spacing w:before="120" w:after="120" w:line="240" w:lineRule="auto"/>
        <w:ind w:left="360"/>
        <w:contextualSpacing w:val="0"/>
        <w:jc w:val="thaiDistribute"/>
        <w:rPr>
          <w:rFonts w:asciiTheme="majorBidi" w:hAnsiTheme="majorBidi" w:cstheme="majorBidi"/>
          <w:spacing w:val="-6"/>
          <w:sz w:val="28"/>
        </w:rPr>
      </w:pPr>
      <w:r w:rsidRPr="00B26CCB">
        <w:rPr>
          <w:rFonts w:asciiTheme="majorBidi" w:hAnsiTheme="majorBidi" w:cstheme="majorBidi"/>
          <w:spacing w:val="-6"/>
          <w:sz w:val="28"/>
        </w:rPr>
        <w:t>As disclosed in Note 27.4.2</w:t>
      </w:r>
      <w:r w:rsidRPr="00B26CCB">
        <w:rPr>
          <w:rFonts w:asciiTheme="majorBidi" w:hAnsiTheme="majorBidi" w:cstheme="majorBidi"/>
          <w:spacing w:val="-6"/>
          <w:sz w:val="28"/>
          <w:cs/>
        </w:rPr>
        <w:t xml:space="preserve"> </w:t>
      </w:r>
      <w:r w:rsidRPr="00B26CCB">
        <w:rPr>
          <w:rFonts w:asciiTheme="majorBidi" w:hAnsiTheme="majorBidi" w:cstheme="majorBidi"/>
          <w:spacing w:val="-6"/>
          <w:sz w:val="28"/>
        </w:rPr>
        <w:t>to the financial statements, in June 2026, the second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As of December 31, 2025, the outstanding debt, including default interest, amounted to Baht 197</w:t>
      </w:r>
      <w:r w:rsidRPr="00B26CCB">
        <w:rPr>
          <w:rFonts w:asciiTheme="majorBidi" w:hAnsiTheme="majorBidi" w:cstheme="majorBidi"/>
          <w:spacing w:val="-6"/>
          <w:sz w:val="28"/>
          <w:cs/>
        </w:rPr>
        <w:t xml:space="preserve"> </w:t>
      </w:r>
      <w:r w:rsidRPr="00B26CCB">
        <w:rPr>
          <w:rFonts w:asciiTheme="majorBidi" w:hAnsiTheme="majorBidi" w:cstheme="majorBidi"/>
          <w:spacing w:val="-6"/>
          <w:sz w:val="28"/>
        </w:rPr>
        <w:t>million and was presented as current liabilities. The Company is currently in the process of negotiating a compromise agreement with the financial institution.</w:t>
      </w:r>
    </w:p>
    <w:p w14:paraId="41D4A868" w14:textId="59618018" w:rsidR="0061061D" w:rsidRPr="009C7ECD" w:rsidRDefault="0061061D" w:rsidP="0061061D">
      <w:pPr>
        <w:pStyle w:val="ListParagraph"/>
        <w:numPr>
          <w:ilvl w:val="0"/>
          <w:numId w:val="7"/>
        </w:numPr>
        <w:spacing w:before="120" w:after="120" w:line="240" w:lineRule="auto"/>
        <w:ind w:left="360"/>
        <w:contextualSpacing w:val="0"/>
        <w:jc w:val="thaiDistribute"/>
        <w:rPr>
          <w:rFonts w:asciiTheme="majorBidi" w:hAnsiTheme="majorBidi" w:cstheme="majorBidi"/>
          <w:sz w:val="28"/>
        </w:rPr>
      </w:pPr>
      <w:r w:rsidRPr="009C7ECD">
        <w:rPr>
          <w:rFonts w:asciiTheme="majorBidi" w:hAnsiTheme="majorBidi" w:cstheme="majorBidi"/>
          <w:spacing w:val="-2"/>
          <w:sz w:val="28"/>
        </w:rPr>
        <w:t xml:space="preserve">As disclosed in Note 27.4.3 to the financial statements, in May 2026, the third financial institution filed a civil lawsuit against the Company for default under a loan agreement, demanding repayment of the outstanding loan together with default interest. The lawsuit further requested that, should the Company fail to fully settle the outstanding debt, the mortgaged collateral be foreclosed and sold by public auction to satisfy the debt, and if the proceeds from such sale are insufficient, the Company's other assets be seized and sold by public auction to recover the remaining outstanding balance. The claim, including principal and interest, amounted to Baht 198 million. The case is currently </w:t>
      </w:r>
      <w:r w:rsidR="00592835" w:rsidRPr="009C7ECD">
        <w:rPr>
          <w:rFonts w:asciiTheme="majorBidi" w:hAnsiTheme="majorBidi" w:cstheme="majorBidi"/>
          <w:spacing w:val="-2"/>
          <w:sz w:val="28"/>
        </w:rPr>
        <w:t xml:space="preserve">under </w:t>
      </w:r>
      <w:r w:rsidR="00592835" w:rsidRPr="009C7ECD">
        <w:rPr>
          <w:rFonts w:asciiTheme="majorBidi" w:hAnsiTheme="majorBidi" w:cstheme="majorBidi"/>
          <w:spacing w:val="-4"/>
          <w:sz w:val="28"/>
        </w:rPr>
        <w:t>consideration</w:t>
      </w:r>
      <w:r w:rsidR="00A0163B" w:rsidRPr="009C7ECD">
        <w:rPr>
          <w:rFonts w:asciiTheme="majorBidi" w:hAnsiTheme="majorBidi" w:cstheme="majorBidi"/>
          <w:spacing w:val="-4"/>
          <w:sz w:val="28"/>
        </w:rPr>
        <w:t xml:space="preserve"> of</w:t>
      </w:r>
      <w:r w:rsidR="00592835" w:rsidRPr="009C7ECD">
        <w:rPr>
          <w:rFonts w:asciiTheme="majorBidi" w:hAnsiTheme="majorBidi" w:cstheme="majorBidi"/>
          <w:spacing w:val="-4"/>
          <w:sz w:val="28"/>
        </w:rPr>
        <w:t xml:space="preserve"> </w:t>
      </w:r>
      <w:r w:rsidRPr="009C7ECD">
        <w:rPr>
          <w:rFonts w:asciiTheme="majorBidi" w:hAnsiTheme="majorBidi" w:cstheme="majorBidi"/>
          <w:spacing w:val="-4"/>
          <w:sz w:val="28"/>
        </w:rPr>
        <w:t xml:space="preserve">the Court. The Company has been negotiating with the financial institution, and the proposed resolution is likely to involve the transfer of the mortgaged collateral in settlement of the debt, with the Company having the right </w:t>
      </w:r>
      <w:r w:rsidR="009C7ECD">
        <w:rPr>
          <w:rFonts w:asciiTheme="majorBidi" w:hAnsiTheme="majorBidi" w:cstheme="majorBidi"/>
          <w:spacing w:val="-4"/>
          <w:sz w:val="28"/>
        </w:rPr>
        <w:br/>
      </w:r>
      <w:r w:rsidRPr="009C7ECD">
        <w:rPr>
          <w:rFonts w:asciiTheme="majorBidi" w:hAnsiTheme="majorBidi" w:cstheme="majorBidi"/>
          <w:spacing w:val="-4"/>
          <w:sz w:val="28"/>
        </w:rPr>
        <w:t xml:space="preserve">to repurchase the collateral within two years. During the repurchase period, the Company would have the right to lease and use the property. As the land remains the project site for the Company's operations, the Company intends to </w:t>
      </w:r>
      <w:r w:rsidR="009C7ECD">
        <w:rPr>
          <w:rFonts w:asciiTheme="majorBidi" w:hAnsiTheme="majorBidi" w:cstheme="majorBidi"/>
          <w:spacing w:val="-4"/>
          <w:sz w:val="28"/>
        </w:rPr>
        <w:br/>
      </w:r>
      <w:r w:rsidRPr="009C7ECD">
        <w:rPr>
          <w:rFonts w:asciiTheme="majorBidi" w:hAnsiTheme="majorBidi" w:cstheme="majorBidi"/>
          <w:spacing w:val="-4"/>
          <w:sz w:val="28"/>
        </w:rPr>
        <w:t xml:space="preserve">exercise </w:t>
      </w:r>
      <w:proofErr w:type="gramStart"/>
      <w:r w:rsidRPr="009C7ECD">
        <w:rPr>
          <w:rFonts w:asciiTheme="majorBidi" w:hAnsiTheme="majorBidi" w:cstheme="majorBidi"/>
          <w:spacing w:val="-4"/>
          <w:sz w:val="28"/>
        </w:rPr>
        <w:t>its</w:t>
      </w:r>
      <w:proofErr w:type="gramEnd"/>
      <w:r w:rsidRPr="009C7ECD">
        <w:rPr>
          <w:rFonts w:asciiTheme="majorBidi" w:hAnsiTheme="majorBidi" w:cstheme="majorBidi"/>
          <w:spacing w:val="-4"/>
          <w:sz w:val="28"/>
        </w:rPr>
        <w:t xml:space="preserve"> repurchase </w:t>
      </w:r>
      <w:proofErr w:type="gramStart"/>
      <w:r w:rsidRPr="009C7ECD">
        <w:rPr>
          <w:rFonts w:asciiTheme="majorBidi" w:hAnsiTheme="majorBidi" w:cstheme="majorBidi"/>
          <w:spacing w:val="-4"/>
          <w:sz w:val="28"/>
        </w:rPr>
        <w:t>right</w:t>
      </w:r>
      <w:proofErr w:type="gramEnd"/>
      <w:r w:rsidRPr="009C7ECD">
        <w:rPr>
          <w:rFonts w:asciiTheme="majorBidi" w:hAnsiTheme="majorBidi" w:cstheme="majorBidi"/>
          <w:spacing w:val="-4"/>
          <w:sz w:val="28"/>
        </w:rPr>
        <w:t>. The parties are currently in the process of negotiating the terms of such arrangement</w:t>
      </w:r>
      <w:r w:rsidRPr="009C7ECD">
        <w:rPr>
          <w:rFonts w:asciiTheme="majorBidi" w:hAnsiTheme="majorBidi" w:cstheme="majorBidi"/>
          <w:sz w:val="28"/>
        </w:rPr>
        <w:t>.</w:t>
      </w:r>
    </w:p>
    <w:p w14:paraId="7BB737D6" w14:textId="1DAB8567" w:rsidR="00AA583E" w:rsidRPr="00B26CCB" w:rsidRDefault="00AA583E" w:rsidP="0061061D">
      <w:pPr>
        <w:pStyle w:val="ListParagraph"/>
        <w:numPr>
          <w:ilvl w:val="0"/>
          <w:numId w:val="7"/>
        </w:numPr>
        <w:spacing w:before="120" w:after="120" w:line="240" w:lineRule="auto"/>
        <w:ind w:left="360"/>
        <w:contextualSpacing w:val="0"/>
        <w:jc w:val="thaiDistribute"/>
        <w:rPr>
          <w:rFonts w:asciiTheme="majorBidi" w:hAnsiTheme="majorBidi" w:cstheme="majorBidi"/>
          <w:spacing w:val="-2"/>
          <w:sz w:val="28"/>
        </w:rPr>
      </w:pPr>
      <w:r w:rsidRPr="00B26CCB">
        <w:rPr>
          <w:rFonts w:asciiTheme="majorBidi" w:hAnsiTheme="majorBidi" w:cstheme="majorBidi"/>
          <w:spacing w:val="-2"/>
          <w:sz w:val="28"/>
        </w:rPr>
        <w:t xml:space="preserve">As disclosed in Note 27.4.4 to the financial statements, as of December 31, 2025, the Company was named as a defendant in </w:t>
      </w:r>
      <w:proofErr w:type="gramStart"/>
      <w:r w:rsidRPr="00B26CCB">
        <w:rPr>
          <w:rFonts w:asciiTheme="majorBidi" w:hAnsiTheme="majorBidi" w:cstheme="majorBidi"/>
          <w:spacing w:val="-2"/>
          <w:sz w:val="28"/>
        </w:rPr>
        <w:t>a number of</w:t>
      </w:r>
      <w:proofErr w:type="gramEnd"/>
      <w:r w:rsidRPr="00B26CCB">
        <w:rPr>
          <w:rFonts w:asciiTheme="majorBidi" w:hAnsiTheme="majorBidi" w:cstheme="majorBidi"/>
          <w:spacing w:val="-2"/>
          <w:sz w:val="28"/>
        </w:rPr>
        <w:t xml:space="preserve"> civil lawsuits filed by various trade and other creditors in relation to defaults under payment obligations. The Company has negotiated settlements with certain creditors or entered into compromise agreements to repay the outstanding debts by installments. As of December 31, 2025, the outstanding liabilities relating to these civil lawsuits for defaults under payment obligations amounted to Baht 215 million.</w:t>
      </w:r>
    </w:p>
    <w:p w14:paraId="4E07338C" w14:textId="46C55923" w:rsidR="00AA583E" w:rsidRPr="00B26CCB" w:rsidRDefault="00AA583E" w:rsidP="0061061D">
      <w:pPr>
        <w:pStyle w:val="ListParagraph"/>
        <w:numPr>
          <w:ilvl w:val="0"/>
          <w:numId w:val="7"/>
        </w:numPr>
        <w:spacing w:before="120" w:after="120" w:line="240" w:lineRule="auto"/>
        <w:ind w:left="360"/>
        <w:contextualSpacing w:val="0"/>
        <w:jc w:val="thaiDistribute"/>
        <w:rPr>
          <w:rFonts w:asciiTheme="majorBidi" w:hAnsiTheme="majorBidi" w:cstheme="majorBidi"/>
          <w:spacing w:val="-2"/>
          <w:sz w:val="28"/>
        </w:rPr>
      </w:pPr>
      <w:r w:rsidRPr="00B26CCB">
        <w:rPr>
          <w:rFonts w:asciiTheme="majorBidi" w:hAnsiTheme="majorBidi" w:cstheme="majorBidi"/>
          <w:spacing w:val="-2"/>
          <w:sz w:val="28"/>
        </w:rPr>
        <w:t xml:space="preserve">As disclosed in Note </w:t>
      </w:r>
      <w:r w:rsidR="00461CE6" w:rsidRPr="00B26CCB">
        <w:rPr>
          <w:rFonts w:asciiTheme="majorBidi" w:hAnsiTheme="majorBidi" w:cstheme="majorBidi"/>
          <w:spacing w:val="-2"/>
          <w:sz w:val="28"/>
        </w:rPr>
        <w:t>27.5</w:t>
      </w:r>
      <w:r w:rsidRPr="00B26CCB">
        <w:rPr>
          <w:rFonts w:asciiTheme="majorBidi" w:hAnsiTheme="majorBidi" w:cstheme="majorBidi"/>
          <w:spacing w:val="-2"/>
          <w:sz w:val="28"/>
        </w:rPr>
        <w:t xml:space="preserve"> to the financial statements, in </w:t>
      </w:r>
      <w:r w:rsidR="001B3B68">
        <w:rPr>
          <w:rFonts w:asciiTheme="majorBidi" w:hAnsiTheme="majorBidi" w:cstheme="majorBidi"/>
          <w:spacing w:val="-2"/>
          <w:sz w:val="28"/>
        </w:rPr>
        <w:t>December</w:t>
      </w:r>
      <w:r w:rsidRPr="00B26CCB">
        <w:rPr>
          <w:rFonts w:asciiTheme="majorBidi" w:hAnsiTheme="majorBidi" w:cstheme="majorBidi"/>
          <w:spacing w:val="-2"/>
          <w:sz w:val="28"/>
        </w:rPr>
        <w:t xml:space="preserve"> 2025, civil lawsuits were filed in four separate cases by the holders of the Company's four series of debentures </w:t>
      </w:r>
      <w:proofErr w:type="gramStart"/>
      <w:r w:rsidRPr="00B26CCB">
        <w:rPr>
          <w:rFonts w:asciiTheme="majorBidi" w:hAnsiTheme="majorBidi" w:cstheme="majorBidi"/>
          <w:spacing w:val="-2"/>
          <w:sz w:val="28"/>
        </w:rPr>
        <w:t>as a result of</w:t>
      </w:r>
      <w:proofErr w:type="gramEnd"/>
      <w:r w:rsidRPr="00B26CCB">
        <w:rPr>
          <w:rFonts w:asciiTheme="majorBidi" w:hAnsiTheme="majorBidi" w:cstheme="majorBidi"/>
          <w:spacing w:val="-2"/>
          <w:sz w:val="28"/>
        </w:rPr>
        <w:t xml:space="preserve"> the Company's default under the debenture agreements. The claims amounted to Baht 746 million in principal and Baht 74 million in accrued interest. The cases are currently </w:t>
      </w:r>
      <w:r w:rsidR="001B3B68" w:rsidRPr="001B3B68">
        <w:rPr>
          <w:rFonts w:asciiTheme="majorBidi" w:hAnsiTheme="majorBidi" w:cstheme="majorBidi"/>
          <w:spacing w:val="-2"/>
          <w:sz w:val="28"/>
        </w:rPr>
        <w:t>under consideration</w:t>
      </w:r>
      <w:r w:rsidR="00A0163B">
        <w:rPr>
          <w:rFonts w:asciiTheme="majorBidi" w:hAnsiTheme="majorBidi" w:cstheme="majorBidi"/>
          <w:spacing w:val="-2"/>
          <w:sz w:val="28"/>
        </w:rPr>
        <w:t xml:space="preserve"> of </w:t>
      </w:r>
      <w:r w:rsidRPr="00B26CCB">
        <w:rPr>
          <w:rFonts w:asciiTheme="majorBidi" w:hAnsiTheme="majorBidi" w:cstheme="majorBidi"/>
          <w:spacing w:val="-2"/>
          <w:sz w:val="28"/>
        </w:rPr>
        <w:t>the Court. The Company intends to convene a meeting of the debenture holders by September 2026 to establish a debt repayment framework that is aligned with the Company's liquidity position.</w:t>
      </w:r>
    </w:p>
    <w:p w14:paraId="1225249E" w14:textId="2E74B322" w:rsidR="00204028" w:rsidRPr="00E936BC" w:rsidRDefault="00546CB3" w:rsidP="00141AA8">
      <w:pPr>
        <w:spacing w:before="120" w:after="120"/>
        <w:jc w:val="thaiDistribute"/>
        <w:rPr>
          <w:rFonts w:asciiTheme="majorBidi" w:hAnsiTheme="majorBidi" w:cstheme="majorBidi"/>
          <w:spacing w:val="-6"/>
          <w:sz w:val="28"/>
        </w:rPr>
      </w:pPr>
      <w:r w:rsidRPr="00E936BC">
        <w:rPr>
          <w:rFonts w:asciiTheme="majorBidi" w:hAnsiTheme="majorBidi" w:cstheme="majorBidi"/>
          <w:spacing w:val="-6"/>
          <w:sz w:val="28"/>
        </w:rPr>
        <w:t>As at the date of the auditor’s report, the Group and the Company have prepared plans to address the financial positions and liquidity issue. However, the plan</w:t>
      </w:r>
      <w:r w:rsidR="00FD007A" w:rsidRPr="00E936BC">
        <w:rPr>
          <w:rFonts w:asciiTheme="majorBidi" w:hAnsiTheme="majorBidi" w:cstheme="majorBidi"/>
          <w:spacing w:val="-6"/>
          <w:sz w:val="28"/>
        </w:rPr>
        <w:t>s</w:t>
      </w:r>
      <w:r w:rsidRPr="00E936BC">
        <w:rPr>
          <w:rFonts w:asciiTheme="majorBidi" w:hAnsiTheme="majorBidi" w:cstheme="majorBidi"/>
          <w:spacing w:val="-6"/>
          <w:sz w:val="28"/>
        </w:rPr>
        <w:t xml:space="preserve"> remain subject to multiple material uncertainties, which depend on the ability to implement the operational improvement plan, and the success of various plans, including the result of negotiations for waivers of loans agreement breaches with financial institutions, the results of negotiations for debt repayment extension, the results of debt restructuring negotiations, the plan to obtain loans from directors, the plan to increase capital, and the plan to secure additional funding sources.</w:t>
      </w:r>
    </w:p>
    <w:p w14:paraId="4035DA41" w14:textId="50135EB5" w:rsidR="000615C4" w:rsidRPr="00204028" w:rsidRDefault="00546CB3" w:rsidP="00141AA8">
      <w:pPr>
        <w:spacing w:before="120" w:after="120"/>
        <w:jc w:val="thaiDistribute"/>
        <w:rPr>
          <w:rFonts w:asciiTheme="majorBidi" w:hAnsiTheme="majorBidi" w:cstheme="majorBidi"/>
          <w:spacing w:val="-4"/>
          <w:sz w:val="28"/>
        </w:rPr>
      </w:pPr>
      <w:r w:rsidRPr="00141AA8">
        <w:rPr>
          <w:rFonts w:asciiTheme="majorBidi" w:hAnsiTheme="majorBidi" w:cstheme="majorBidi"/>
          <w:sz w:val="28"/>
        </w:rPr>
        <w:lastRenderedPageBreak/>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791E73E5" w14:textId="0D20E516" w:rsidR="00546CB3" w:rsidRPr="00461CE6" w:rsidRDefault="00233BE5" w:rsidP="00811A00">
      <w:pPr>
        <w:pStyle w:val="ListParagraph"/>
        <w:numPr>
          <w:ilvl w:val="0"/>
          <w:numId w:val="7"/>
        </w:numPr>
        <w:spacing w:before="120" w:after="120" w:line="240" w:lineRule="auto"/>
        <w:ind w:left="360"/>
        <w:contextualSpacing w:val="0"/>
        <w:jc w:val="thaiDistribute"/>
        <w:rPr>
          <w:rFonts w:asciiTheme="majorBidi" w:hAnsiTheme="majorBidi" w:cstheme="majorBidi"/>
          <w:sz w:val="28"/>
        </w:rPr>
      </w:pPr>
      <w:r w:rsidRPr="00461CE6">
        <w:rPr>
          <w:rFonts w:asciiTheme="majorBidi" w:hAnsiTheme="majorBidi" w:cstheme="majorBidi"/>
          <w:sz w:val="28"/>
        </w:rPr>
        <w:t xml:space="preserve">As disclosed in </w:t>
      </w:r>
      <w:r w:rsidR="00C620DB">
        <w:rPr>
          <w:rFonts w:asciiTheme="majorBidi" w:hAnsiTheme="majorBidi" w:cstheme="majorBidi"/>
          <w:sz w:val="28"/>
        </w:rPr>
        <w:t>N</w:t>
      </w:r>
      <w:r w:rsidRPr="00461CE6">
        <w:rPr>
          <w:rFonts w:asciiTheme="majorBidi" w:hAnsiTheme="majorBidi" w:cstheme="majorBidi"/>
          <w:sz w:val="28"/>
        </w:rPr>
        <w:t xml:space="preserve">ote </w:t>
      </w:r>
      <w:r w:rsidR="000012B8" w:rsidRPr="00461CE6">
        <w:rPr>
          <w:rFonts w:asciiTheme="majorBidi" w:hAnsiTheme="majorBidi" w:cstheme="majorBidi"/>
          <w:sz w:val="28"/>
        </w:rPr>
        <w:t>9</w:t>
      </w:r>
      <w:r w:rsidRPr="00461CE6">
        <w:rPr>
          <w:rFonts w:asciiTheme="majorBidi" w:hAnsiTheme="majorBidi" w:cstheme="majorBidi"/>
          <w:sz w:val="28"/>
        </w:rPr>
        <w:t xml:space="preserve"> to the financial statements, the consolidated and separate financial statement </w:t>
      </w:r>
      <w:r w:rsidR="00D03688" w:rsidRPr="00461CE6">
        <w:rPr>
          <w:rFonts w:asciiTheme="majorBidi" w:hAnsiTheme="majorBidi" w:cstheme="majorBidi"/>
          <w:sz w:val="28"/>
        </w:rPr>
        <w:t xml:space="preserve">of the Company </w:t>
      </w:r>
      <w:r w:rsidR="00292477" w:rsidRPr="00461CE6">
        <w:rPr>
          <w:rFonts w:asciiTheme="majorBidi" w:hAnsiTheme="majorBidi" w:cstheme="majorBidi"/>
          <w:sz w:val="28"/>
        </w:rPr>
        <w:t xml:space="preserve">for the </w:t>
      </w:r>
      <w:r w:rsidR="000012B8" w:rsidRPr="00461CE6">
        <w:rPr>
          <w:rFonts w:asciiTheme="majorBidi" w:hAnsiTheme="majorBidi" w:cstheme="majorBidi"/>
          <w:sz w:val="28"/>
        </w:rPr>
        <w:t>year</w:t>
      </w:r>
      <w:r w:rsidR="00292477" w:rsidRPr="00461CE6">
        <w:rPr>
          <w:rFonts w:asciiTheme="majorBidi" w:hAnsiTheme="majorBidi" w:cstheme="majorBidi"/>
          <w:sz w:val="28"/>
        </w:rPr>
        <w:t xml:space="preserve"> ended </w:t>
      </w:r>
      <w:r w:rsidR="000012B8" w:rsidRPr="00461CE6">
        <w:rPr>
          <w:rFonts w:asciiTheme="majorBidi" w:hAnsiTheme="majorBidi" w:cstheme="majorBidi"/>
          <w:sz w:val="28"/>
        </w:rPr>
        <w:t>December</w:t>
      </w:r>
      <w:r w:rsidR="00292477" w:rsidRPr="00461CE6">
        <w:rPr>
          <w:rFonts w:asciiTheme="majorBidi" w:hAnsiTheme="majorBidi" w:cstheme="majorBidi"/>
          <w:sz w:val="28"/>
        </w:rPr>
        <w:t xml:space="preserve"> 3</w:t>
      </w:r>
      <w:r w:rsidR="000012B8" w:rsidRPr="00461CE6">
        <w:rPr>
          <w:rFonts w:asciiTheme="majorBidi" w:hAnsiTheme="majorBidi" w:cstheme="majorBidi"/>
          <w:sz w:val="28"/>
        </w:rPr>
        <w:t>1</w:t>
      </w:r>
      <w:r w:rsidRPr="00461CE6">
        <w:rPr>
          <w:rFonts w:asciiTheme="majorBidi" w:hAnsiTheme="majorBidi" w:cstheme="majorBidi"/>
          <w:sz w:val="28"/>
        </w:rPr>
        <w:t xml:space="preserve">, 2025, included an investment in </w:t>
      </w:r>
      <w:r w:rsidR="005C29AA" w:rsidRPr="00461CE6">
        <w:rPr>
          <w:rFonts w:asciiTheme="majorBidi" w:hAnsiTheme="majorBidi" w:cstheme="majorBidi"/>
          <w:sz w:val="28"/>
        </w:rPr>
        <w:t>direct and indirect</w:t>
      </w:r>
      <w:r w:rsidRPr="00461CE6">
        <w:rPr>
          <w:rFonts w:asciiTheme="majorBidi" w:hAnsiTheme="majorBidi" w:cstheme="majorBidi"/>
          <w:sz w:val="28"/>
        </w:rPr>
        <w:t xml:space="preserve"> associated compan</w:t>
      </w:r>
      <w:r w:rsidR="005C29AA" w:rsidRPr="00461CE6">
        <w:rPr>
          <w:rFonts w:asciiTheme="majorBidi" w:hAnsiTheme="majorBidi" w:cstheme="majorBidi"/>
          <w:sz w:val="28"/>
        </w:rPr>
        <w:t>ies</w:t>
      </w:r>
      <w:r w:rsidRPr="00461CE6">
        <w:rPr>
          <w:rFonts w:asciiTheme="majorBidi" w:hAnsiTheme="majorBidi" w:cstheme="majorBidi"/>
          <w:sz w:val="28"/>
        </w:rPr>
        <w:t xml:space="preserve"> based on the associated </w:t>
      </w:r>
      <w:r w:rsidR="00C620DB" w:rsidRPr="00461CE6">
        <w:rPr>
          <w:rFonts w:asciiTheme="majorBidi" w:hAnsiTheme="majorBidi" w:cstheme="majorBidi"/>
          <w:sz w:val="28"/>
        </w:rPr>
        <w:t>companies</w:t>
      </w:r>
      <w:r w:rsidR="00C620DB">
        <w:rPr>
          <w:rFonts w:asciiTheme="majorBidi" w:hAnsiTheme="majorBidi" w:cstheme="majorBidi"/>
          <w:sz w:val="28"/>
        </w:rPr>
        <w:t xml:space="preserve">’ </w:t>
      </w:r>
      <w:r w:rsidR="00D03688" w:rsidRPr="00461CE6">
        <w:rPr>
          <w:rFonts w:asciiTheme="majorBidi" w:hAnsiTheme="majorBidi" w:cstheme="majorBidi"/>
          <w:sz w:val="28"/>
        </w:rPr>
        <w:t>financial statement</w:t>
      </w:r>
      <w:r w:rsidR="005C29AA" w:rsidRPr="00461CE6">
        <w:rPr>
          <w:rFonts w:asciiTheme="majorBidi" w:hAnsiTheme="majorBidi" w:cstheme="majorBidi"/>
          <w:sz w:val="28"/>
        </w:rPr>
        <w:t>s</w:t>
      </w:r>
      <w:r w:rsidR="00D03688" w:rsidRPr="00461CE6">
        <w:rPr>
          <w:rFonts w:asciiTheme="majorBidi" w:hAnsiTheme="majorBidi" w:cstheme="majorBidi"/>
          <w:sz w:val="28"/>
        </w:rPr>
        <w:t>,</w:t>
      </w:r>
      <w:r w:rsidRPr="00461CE6">
        <w:rPr>
          <w:rFonts w:asciiTheme="majorBidi" w:hAnsiTheme="majorBidi" w:cstheme="majorBidi"/>
          <w:sz w:val="28"/>
        </w:rPr>
        <w:t xml:space="preserve"> which had not been </w:t>
      </w:r>
      <w:r w:rsidR="0006108D" w:rsidRPr="00461CE6">
        <w:rPr>
          <w:rFonts w:asciiTheme="majorBidi" w:hAnsiTheme="majorBidi" w:cstheme="majorBidi"/>
          <w:sz w:val="28"/>
        </w:rPr>
        <w:t>audit</w:t>
      </w:r>
      <w:r w:rsidRPr="00461CE6">
        <w:rPr>
          <w:rFonts w:asciiTheme="majorBidi" w:hAnsiTheme="majorBidi" w:cstheme="majorBidi"/>
          <w:sz w:val="28"/>
        </w:rPr>
        <w:t>ed by an auditor</w:t>
      </w:r>
      <w:r w:rsidR="009A6905" w:rsidRPr="00461CE6">
        <w:rPr>
          <w:rFonts w:asciiTheme="majorBidi" w:hAnsiTheme="majorBidi" w:cstheme="majorBidi"/>
          <w:sz w:val="28"/>
        </w:rPr>
        <w:t xml:space="preserve"> a</w:t>
      </w:r>
      <w:r w:rsidR="001D3A7D" w:rsidRPr="00461CE6">
        <w:rPr>
          <w:rFonts w:asciiTheme="majorBidi" w:hAnsiTheme="majorBidi" w:cstheme="majorBidi"/>
          <w:sz w:val="28"/>
        </w:rPr>
        <w:t xml:space="preserve">s </w:t>
      </w:r>
      <w:r w:rsidR="005C29AA" w:rsidRPr="00461CE6">
        <w:rPr>
          <w:rFonts w:asciiTheme="majorBidi" w:hAnsiTheme="majorBidi" w:cstheme="majorBidi"/>
          <w:sz w:val="28"/>
        </w:rPr>
        <w:t>the</w:t>
      </w:r>
      <w:r w:rsidR="001D3A7D" w:rsidRPr="00461CE6">
        <w:rPr>
          <w:rFonts w:asciiTheme="majorBidi" w:hAnsiTheme="majorBidi" w:cstheme="majorBidi"/>
          <w:sz w:val="28"/>
        </w:rPr>
        <w:t xml:space="preserve"> </w:t>
      </w:r>
      <w:r w:rsidR="00A110B5" w:rsidRPr="00461CE6">
        <w:rPr>
          <w:rFonts w:asciiTheme="majorBidi" w:hAnsiTheme="majorBidi" w:cstheme="majorBidi"/>
          <w:sz w:val="28"/>
        </w:rPr>
        <w:t>associated compan</w:t>
      </w:r>
      <w:r w:rsidR="005C29AA" w:rsidRPr="00461CE6">
        <w:rPr>
          <w:rFonts w:asciiTheme="majorBidi" w:hAnsiTheme="majorBidi" w:cstheme="majorBidi"/>
          <w:sz w:val="28"/>
        </w:rPr>
        <w:t>ies</w:t>
      </w:r>
      <w:r w:rsidR="00A110B5" w:rsidRPr="00461CE6">
        <w:rPr>
          <w:rFonts w:asciiTheme="majorBidi" w:hAnsiTheme="majorBidi" w:cstheme="majorBidi"/>
          <w:sz w:val="28"/>
        </w:rPr>
        <w:t xml:space="preserve"> </w:t>
      </w:r>
      <w:r w:rsidR="005C29AA" w:rsidRPr="00461CE6">
        <w:rPr>
          <w:rFonts w:asciiTheme="majorBidi" w:hAnsiTheme="majorBidi" w:cstheme="majorBidi"/>
          <w:sz w:val="28"/>
        </w:rPr>
        <w:t>are</w:t>
      </w:r>
      <w:r w:rsidR="001D3A7D" w:rsidRPr="00461CE6">
        <w:rPr>
          <w:rFonts w:asciiTheme="majorBidi" w:hAnsiTheme="majorBidi" w:cstheme="majorBidi"/>
          <w:sz w:val="28"/>
        </w:rPr>
        <w:t xml:space="preserve"> not under the control of the Company’s management. </w:t>
      </w:r>
      <w:r w:rsidRPr="00461CE6">
        <w:rPr>
          <w:rFonts w:asciiTheme="majorBidi" w:hAnsiTheme="majorBidi" w:cstheme="majorBidi"/>
          <w:sz w:val="28"/>
        </w:rPr>
        <w:t xml:space="preserve">The carrying </w:t>
      </w:r>
      <w:r w:rsidR="00D03688" w:rsidRPr="00461CE6">
        <w:rPr>
          <w:rFonts w:asciiTheme="majorBidi" w:hAnsiTheme="majorBidi" w:cstheme="majorBidi"/>
          <w:sz w:val="28"/>
        </w:rPr>
        <w:t>amount</w:t>
      </w:r>
      <w:r w:rsidRPr="00461CE6">
        <w:rPr>
          <w:rFonts w:asciiTheme="majorBidi" w:hAnsiTheme="majorBidi" w:cstheme="majorBidi"/>
          <w:sz w:val="28"/>
        </w:rPr>
        <w:t xml:space="preserve"> of the investment </w:t>
      </w:r>
      <w:r w:rsidR="0000523F" w:rsidRPr="00461CE6">
        <w:rPr>
          <w:rFonts w:asciiTheme="majorBidi" w:hAnsiTheme="majorBidi" w:cstheme="majorBidi"/>
          <w:sz w:val="28"/>
        </w:rPr>
        <w:t xml:space="preserve">as at </w:t>
      </w:r>
      <w:r w:rsidR="000012B8" w:rsidRPr="00461CE6">
        <w:rPr>
          <w:rFonts w:asciiTheme="majorBidi" w:hAnsiTheme="majorBidi" w:cstheme="majorBidi"/>
          <w:sz w:val="28"/>
        </w:rPr>
        <w:t>December</w:t>
      </w:r>
      <w:r w:rsidR="0000523F" w:rsidRPr="00461CE6">
        <w:rPr>
          <w:rFonts w:asciiTheme="majorBidi" w:hAnsiTheme="majorBidi" w:cstheme="majorBidi"/>
          <w:sz w:val="28"/>
        </w:rPr>
        <w:t xml:space="preserve"> 3</w:t>
      </w:r>
      <w:r w:rsidR="000012B8" w:rsidRPr="00461CE6">
        <w:rPr>
          <w:rFonts w:asciiTheme="majorBidi" w:hAnsiTheme="majorBidi" w:cstheme="majorBidi"/>
          <w:sz w:val="28"/>
        </w:rPr>
        <w:t>1</w:t>
      </w:r>
      <w:r w:rsidR="0000523F" w:rsidRPr="00461CE6">
        <w:rPr>
          <w:rFonts w:asciiTheme="majorBidi" w:hAnsiTheme="majorBidi" w:cstheme="majorBidi"/>
          <w:sz w:val="28"/>
        </w:rPr>
        <w:t xml:space="preserve">, 2025 </w:t>
      </w:r>
      <w:r w:rsidRPr="00461CE6">
        <w:rPr>
          <w:rFonts w:asciiTheme="majorBidi" w:hAnsiTheme="majorBidi" w:cstheme="majorBidi"/>
          <w:sz w:val="28"/>
        </w:rPr>
        <w:t xml:space="preserve">in the consolidated </w:t>
      </w:r>
      <w:r w:rsidR="00292477" w:rsidRPr="00461CE6">
        <w:rPr>
          <w:rFonts w:asciiTheme="majorBidi" w:hAnsiTheme="majorBidi" w:cstheme="majorBidi"/>
          <w:sz w:val="28"/>
        </w:rPr>
        <w:t>financial statements</w:t>
      </w:r>
      <w:r w:rsidR="009A6905" w:rsidRPr="00461CE6">
        <w:rPr>
          <w:rFonts w:asciiTheme="majorBidi" w:hAnsiTheme="majorBidi" w:cstheme="majorBidi"/>
          <w:sz w:val="28"/>
        </w:rPr>
        <w:t>, accounted for using the equity method</w:t>
      </w:r>
      <w:r w:rsidR="00C620DB">
        <w:rPr>
          <w:rFonts w:asciiTheme="majorBidi" w:hAnsiTheme="majorBidi" w:cstheme="majorBidi"/>
          <w:sz w:val="28"/>
        </w:rPr>
        <w:t>,</w:t>
      </w:r>
      <w:r w:rsidR="00292477" w:rsidRPr="00461CE6">
        <w:rPr>
          <w:rFonts w:asciiTheme="majorBidi" w:hAnsiTheme="majorBidi" w:cstheme="majorBidi"/>
          <w:sz w:val="28"/>
        </w:rPr>
        <w:t xml:space="preserve"> </w:t>
      </w:r>
      <w:r w:rsidRPr="00461CE6">
        <w:rPr>
          <w:rFonts w:asciiTheme="majorBidi" w:hAnsiTheme="majorBidi" w:cstheme="majorBidi"/>
          <w:sz w:val="28"/>
        </w:rPr>
        <w:t xml:space="preserve">amounted to Baht </w:t>
      </w:r>
      <w:r w:rsidR="000012B8" w:rsidRPr="00461CE6">
        <w:rPr>
          <w:rFonts w:asciiTheme="majorBidi" w:hAnsiTheme="majorBidi" w:cstheme="majorBidi"/>
          <w:sz w:val="28"/>
        </w:rPr>
        <w:t>1.98</w:t>
      </w:r>
      <w:r w:rsidRPr="00461CE6">
        <w:rPr>
          <w:rFonts w:asciiTheme="majorBidi" w:hAnsiTheme="majorBidi" w:cstheme="majorBidi"/>
          <w:sz w:val="28"/>
        </w:rPr>
        <w:t xml:space="preserve"> million and </w:t>
      </w:r>
      <w:r w:rsidR="009A6905" w:rsidRPr="00461CE6">
        <w:rPr>
          <w:rFonts w:asciiTheme="majorBidi" w:hAnsiTheme="majorBidi" w:cstheme="majorBidi"/>
          <w:sz w:val="28"/>
        </w:rPr>
        <w:t>in the separate financial statement</w:t>
      </w:r>
      <w:r w:rsidR="00461CE6" w:rsidRPr="00461CE6">
        <w:rPr>
          <w:rFonts w:asciiTheme="majorBidi" w:hAnsiTheme="majorBidi" w:cstheme="majorBidi"/>
          <w:sz w:val="28"/>
        </w:rPr>
        <w:t>, accounted for using the cost method</w:t>
      </w:r>
      <w:r w:rsidR="00461CE6" w:rsidRPr="00461CE6">
        <w:rPr>
          <w:rFonts w:asciiTheme="majorBidi" w:hAnsiTheme="majorBidi" w:cstheme="majorBidi" w:hint="cs"/>
          <w:sz w:val="28"/>
          <w:cs/>
        </w:rPr>
        <w:t xml:space="preserve"> </w:t>
      </w:r>
      <w:r w:rsidR="009A6905" w:rsidRPr="00461CE6">
        <w:rPr>
          <w:rFonts w:asciiTheme="majorBidi" w:hAnsiTheme="majorBidi" w:cstheme="majorBidi"/>
          <w:sz w:val="28"/>
        </w:rPr>
        <w:t xml:space="preserve">amounted to </w:t>
      </w:r>
      <w:r w:rsidRPr="00461CE6">
        <w:rPr>
          <w:rFonts w:asciiTheme="majorBidi" w:hAnsiTheme="majorBidi" w:cstheme="majorBidi"/>
          <w:sz w:val="28"/>
        </w:rPr>
        <w:t xml:space="preserve">Baht </w:t>
      </w:r>
      <w:r w:rsidR="009A6905" w:rsidRPr="00461CE6">
        <w:rPr>
          <w:rFonts w:asciiTheme="majorBidi" w:hAnsiTheme="majorBidi" w:cstheme="majorBidi"/>
          <w:sz w:val="28"/>
        </w:rPr>
        <w:t>2.82</w:t>
      </w:r>
      <w:r w:rsidRPr="00461CE6">
        <w:rPr>
          <w:rFonts w:asciiTheme="majorBidi" w:hAnsiTheme="majorBidi" w:cstheme="majorBidi"/>
          <w:sz w:val="28"/>
        </w:rPr>
        <w:t xml:space="preserve"> million </w:t>
      </w:r>
      <w:r w:rsidR="006F0AAF" w:rsidRPr="00461CE6">
        <w:rPr>
          <w:rFonts w:asciiTheme="majorBidi" w:hAnsiTheme="majorBidi" w:cstheme="majorBidi"/>
          <w:sz w:val="28"/>
        </w:rPr>
        <w:t>(</w:t>
      </w:r>
      <w:r w:rsidR="009A6905" w:rsidRPr="00461CE6">
        <w:rPr>
          <w:rFonts w:asciiTheme="majorBidi" w:hAnsiTheme="majorBidi" w:cstheme="majorBidi"/>
          <w:sz w:val="28"/>
        </w:rPr>
        <w:t>net of an allowance for impairment of investment amounted to Baht 150.82 million</w:t>
      </w:r>
      <w:r w:rsidR="006F0AAF" w:rsidRPr="00461CE6">
        <w:rPr>
          <w:rFonts w:asciiTheme="majorBidi" w:hAnsiTheme="majorBidi" w:cstheme="majorBidi"/>
          <w:sz w:val="28"/>
        </w:rPr>
        <w:t>)</w:t>
      </w:r>
      <w:r w:rsidR="0031459B" w:rsidRPr="00461CE6">
        <w:rPr>
          <w:rFonts w:asciiTheme="majorBidi" w:hAnsiTheme="majorBidi" w:cstheme="majorBidi"/>
          <w:sz w:val="28"/>
        </w:rPr>
        <w:t>,</w:t>
      </w:r>
      <w:r w:rsidR="009A6905" w:rsidRPr="00461CE6">
        <w:rPr>
          <w:rFonts w:asciiTheme="majorBidi" w:hAnsiTheme="majorBidi" w:cstheme="majorBidi"/>
          <w:sz w:val="28"/>
        </w:rPr>
        <w:t xml:space="preserve"> </w:t>
      </w:r>
      <w:r w:rsidRPr="00461CE6">
        <w:rPr>
          <w:rFonts w:asciiTheme="majorBidi" w:hAnsiTheme="majorBidi" w:cstheme="majorBidi"/>
          <w:sz w:val="28"/>
        </w:rPr>
        <w:t xml:space="preserve">representing </w:t>
      </w:r>
      <w:r w:rsidR="009A6905" w:rsidRPr="00461CE6">
        <w:rPr>
          <w:rFonts w:asciiTheme="majorBidi" w:hAnsiTheme="majorBidi" w:cstheme="majorBidi"/>
          <w:sz w:val="28"/>
        </w:rPr>
        <w:t>0.1</w:t>
      </w:r>
      <w:r w:rsidR="000012B8" w:rsidRPr="00461CE6">
        <w:rPr>
          <w:rFonts w:asciiTheme="majorBidi" w:hAnsiTheme="majorBidi" w:cstheme="majorBidi"/>
          <w:sz w:val="28"/>
        </w:rPr>
        <w:t>3</w:t>
      </w:r>
      <w:r w:rsidRPr="00461CE6">
        <w:rPr>
          <w:rFonts w:asciiTheme="majorBidi" w:hAnsiTheme="majorBidi" w:cstheme="majorBidi"/>
          <w:sz w:val="28"/>
        </w:rPr>
        <w:t xml:space="preserve">% and </w:t>
      </w:r>
      <w:r w:rsidR="009A6905" w:rsidRPr="00461CE6">
        <w:rPr>
          <w:rFonts w:asciiTheme="majorBidi" w:hAnsiTheme="majorBidi" w:cstheme="majorBidi"/>
          <w:sz w:val="28"/>
        </w:rPr>
        <w:t>0.</w:t>
      </w:r>
      <w:r w:rsidR="0006108D" w:rsidRPr="00461CE6">
        <w:rPr>
          <w:rFonts w:asciiTheme="majorBidi" w:hAnsiTheme="majorBidi" w:cstheme="majorBidi"/>
          <w:sz w:val="28"/>
        </w:rPr>
        <w:t>20</w:t>
      </w:r>
      <w:r w:rsidRPr="00461CE6">
        <w:rPr>
          <w:rFonts w:asciiTheme="majorBidi" w:hAnsiTheme="majorBidi" w:cstheme="majorBidi"/>
          <w:sz w:val="28"/>
        </w:rPr>
        <w:t xml:space="preserve">% of total assets in the consolidated </w:t>
      </w:r>
      <w:r w:rsidR="00D03688" w:rsidRPr="00461CE6">
        <w:rPr>
          <w:rFonts w:asciiTheme="majorBidi" w:hAnsiTheme="majorBidi" w:cstheme="majorBidi"/>
          <w:sz w:val="28"/>
        </w:rPr>
        <w:t xml:space="preserve">and separate </w:t>
      </w:r>
      <w:r w:rsidRPr="00461CE6">
        <w:rPr>
          <w:rFonts w:asciiTheme="majorBidi" w:hAnsiTheme="majorBidi" w:cstheme="majorBidi"/>
          <w:sz w:val="28"/>
        </w:rPr>
        <w:t xml:space="preserve">financial statements, </w:t>
      </w:r>
      <w:r w:rsidR="00231FDD" w:rsidRPr="00461CE6">
        <w:rPr>
          <w:rFonts w:asciiTheme="majorBidi" w:hAnsiTheme="majorBidi" w:cstheme="majorBidi"/>
          <w:sz w:val="28"/>
        </w:rPr>
        <w:t xml:space="preserve">respectively, </w:t>
      </w:r>
      <w:r w:rsidRPr="00461CE6">
        <w:rPr>
          <w:rFonts w:asciiTheme="majorBidi" w:hAnsiTheme="majorBidi" w:cstheme="majorBidi"/>
          <w:sz w:val="28"/>
        </w:rPr>
        <w:t xml:space="preserve">and the equity of net </w:t>
      </w:r>
      <w:r w:rsidR="00231FDD" w:rsidRPr="00461CE6">
        <w:rPr>
          <w:rFonts w:asciiTheme="majorBidi" w:hAnsiTheme="majorBidi" w:cstheme="majorBidi"/>
          <w:sz w:val="28"/>
        </w:rPr>
        <w:t>loss</w:t>
      </w:r>
      <w:r w:rsidRPr="00461CE6">
        <w:rPr>
          <w:rFonts w:asciiTheme="majorBidi" w:hAnsiTheme="majorBidi" w:cstheme="majorBidi"/>
          <w:sz w:val="28"/>
        </w:rPr>
        <w:t xml:space="preserve"> of the </w:t>
      </w:r>
      <w:r w:rsidR="00461CE6" w:rsidRPr="00461CE6">
        <w:rPr>
          <w:rFonts w:asciiTheme="majorBidi" w:hAnsiTheme="majorBidi" w:cstheme="majorBidi"/>
          <w:sz w:val="28"/>
        </w:rPr>
        <w:t xml:space="preserve">investment in direct and indirect </w:t>
      </w:r>
      <w:r w:rsidRPr="00461CE6">
        <w:rPr>
          <w:rFonts w:asciiTheme="majorBidi" w:hAnsiTheme="majorBidi" w:cstheme="majorBidi"/>
          <w:sz w:val="28"/>
        </w:rPr>
        <w:t>associated compan</w:t>
      </w:r>
      <w:r w:rsidR="0000523F" w:rsidRPr="00461CE6">
        <w:rPr>
          <w:rFonts w:asciiTheme="majorBidi" w:hAnsiTheme="majorBidi" w:cstheme="majorBidi"/>
          <w:sz w:val="28"/>
        </w:rPr>
        <w:t>ies</w:t>
      </w:r>
      <w:r w:rsidRPr="00461CE6">
        <w:rPr>
          <w:rFonts w:asciiTheme="majorBidi" w:hAnsiTheme="majorBidi" w:cstheme="majorBidi"/>
          <w:sz w:val="28"/>
        </w:rPr>
        <w:t xml:space="preserve"> in the consolidated financial statements for t</w:t>
      </w:r>
      <w:r w:rsidR="00292477" w:rsidRPr="00461CE6">
        <w:rPr>
          <w:rFonts w:asciiTheme="majorBidi" w:hAnsiTheme="majorBidi" w:cstheme="majorBidi"/>
          <w:sz w:val="28"/>
        </w:rPr>
        <w:t xml:space="preserve">he </w:t>
      </w:r>
      <w:r w:rsidR="000012B8" w:rsidRPr="00461CE6">
        <w:rPr>
          <w:rFonts w:asciiTheme="majorBidi" w:hAnsiTheme="majorBidi" w:cstheme="majorBidi"/>
          <w:sz w:val="28"/>
        </w:rPr>
        <w:t>year</w:t>
      </w:r>
      <w:r w:rsidR="00292477" w:rsidRPr="00461CE6">
        <w:rPr>
          <w:rFonts w:asciiTheme="majorBidi" w:hAnsiTheme="majorBidi" w:cstheme="majorBidi"/>
          <w:sz w:val="28"/>
        </w:rPr>
        <w:t xml:space="preserve"> ended </w:t>
      </w:r>
      <w:r w:rsidR="000012B8" w:rsidRPr="00461CE6">
        <w:rPr>
          <w:rFonts w:asciiTheme="majorBidi" w:hAnsiTheme="majorBidi" w:cstheme="majorBidi"/>
          <w:sz w:val="28"/>
        </w:rPr>
        <w:t>December</w:t>
      </w:r>
      <w:r w:rsidR="00292477" w:rsidRPr="00461CE6">
        <w:rPr>
          <w:rFonts w:asciiTheme="majorBidi" w:hAnsiTheme="majorBidi" w:cstheme="majorBidi"/>
          <w:sz w:val="28"/>
        </w:rPr>
        <w:t xml:space="preserve"> 3</w:t>
      </w:r>
      <w:r w:rsidR="000012B8" w:rsidRPr="00461CE6">
        <w:rPr>
          <w:rFonts w:asciiTheme="majorBidi" w:hAnsiTheme="majorBidi" w:cstheme="majorBidi"/>
          <w:sz w:val="28"/>
        </w:rPr>
        <w:t>1</w:t>
      </w:r>
      <w:r w:rsidRPr="00461CE6">
        <w:rPr>
          <w:rFonts w:asciiTheme="majorBidi" w:hAnsiTheme="majorBidi" w:cstheme="majorBidi"/>
          <w:sz w:val="28"/>
        </w:rPr>
        <w:t xml:space="preserve">, 2025, amounted to Baht </w:t>
      </w:r>
      <w:r w:rsidR="009A6905" w:rsidRPr="00461CE6">
        <w:rPr>
          <w:rFonts w:asciiTheme="majorBidi" w:hAnsiTheme="majorBidi" w:cstheme="majorBidi"/>
          <w:sz w:val="28"/>
        </w:rPr>
        <w:t>142.</w:t>
      </w:r>
      <w:r w:rsidR="00E407A7" w:rsidRPr="00461CE6">
        <w:rPr>
          <w:rFonts w:asciiTheme="majorBidi" w:hAnsiTheme="majorBidi" w:cstheme="majorBidi"/>
          <w:sz w:val="28"/>
        </w:rPr>
        <w:t>90</w:t>
      </w:r>
      <w:r w:rsidRPr="00461CE6">
        <w:rPr>
          <w:rFonts w:asciiTheme="majorBidi" w:hAnsiTheme="majorBidi" w:cstheme="majorBidi"/>
          <w:sz w:val="28"/>
        </w:rPr>
        <w:t xml:space="preserve"> million,</w:t>
      </w:r>
      <w:r w:rsidRPr="00461CE6">
        <w:t xml:space="preserve"> </w:t>
      </w:r>
      <w:r w:rsidRPr="00461CE6">
        <w:rPr>
          <w:rFonts w:asciiTheme="majorBidi" w:hAnsiTheme="majorBidi" w:cstheme="majorBidi"/>
          <w:sz w:val="28"/>
        </w:rPr>
        <w:t xml:space="preserve">representing </w:t>
      </w:r>
      <w:r w:rsidR="009A6905" w:rsidRPr="00461CE6">
        <w:rPr>
          <w:rFonts w:asciiTheme="majorBidi" w:hAnsiTheme="majorBidi" w:cstheme="majorBidi"/>
          <w:sz w:val="28"/>
        </w:rPr>
        <w:t>1</w:t>
      </w:r>
      <w:r w:rsidR="0006108D" w:rsidRPr="00461CE6">
        <w:rPr>
          <w:rFonts w:asciiTheme="majorBidi" w:hAnsiTheme="majorBidi" w:cstheme="majorBidi"/>
          <w:sz w:val="28"/>
        </w:rPr>
        <w:t>2.8</w:t>
      </w:r>
      <w:r w:rsidR="00461CE6" w:rsidRPr="00461CE6">
        <w:rPr>
          <w:rFonts w:asciiTheme="majorBidi" w:hAnsiTheme="majorBidi" w:cstheme="majorBidi"/>
          <w:sz w:val="28"/>
        </w:rPr>
        <w:t>7</w:t>
      </w:r>
      <w:r w:rsidRPr="00461CE6">
        <w:rPr>
          <w:rFonts w:asciiTheme="majorBidi" w:hAnsiTheme="majorBidi" w:cstheme="majorBidi"/>
          <w:sz w:val="28"/>
        </w:rPr>
        <w:t xml:space="preserve">% of net consolidated loss. I was unable to </w:t>
      </w:r>
      <w:r w:rsidR="00E407A7" w:rsidRPr="00461CE6">
        <w:rPr>
          <w:rFonts w:asciiTheme="majorBidi" w:hAnsiTheme="majorBidi" w:cstheme="majorBidi"/>
          <w:sz w:val="28"/>
        </w:rPr>
        <w:t>audit</w:t>
      </w:r>
      <w:r w:rsidRPr="00461CE6">
        <w:rPr>
          <w:rFonts w:asciiTheme="majorBidi" w:hAnsiTheme="majorBidi" w:cstheme="majorBidi"/>
          <w:sz w:val="28"/>
        </w:rPr>
        <w:t xml:space="preserve"> to satisfy myself as to balance of the value of the investment</w:t>
      </w:r>
      <w:r w:rsidR="005C29AA" w:rsidRPr="00461CE6">
        <w:rPr>
          <w:rFonts w:asciiTheme="majorBidi" w:hAnsiTheme="majorBidi" w:cstheme="majorBidi"/>
          <w:sz w:val="28"/>
        </w:rPr>
        <w:t>s</w:t>
      </w:r>
      <w:r w:rsidRPr="00461CE6">
        <w:rPr>
          <w:rFonts w:asciiTheme="majorBidi" w:hAnsiTheme="majorBidi" w:cstheme="majorBidi"/>
          <w:sz w:val="28"/>
        </w:rPr>
        <w:t xml:space="preserve"> in the associated compan</w:t>
      </w:r>
      <w:r w:rsidR="005C29AA" w:rsidRPr="00461CE6">
        <w:rPr>
          <w:rFonts w:asciiTheme="majorBidi" w:hAnsiTheme="majorBidi" w:cstheme="majorBidi"/>
          <w:sz w:val="28"/>
        </w:rPr>
        <w:t>ies</w:t>
      </w:r>
      <w:r w:rsidRPr="00461CE6">
        <w:rPr>
          <w:rFonts w:asciiTheme="majorBidi" w:hAnsiTheme="majorBidi" w:cstheme="majorBidi"/>
          <w:sz w:val="28"/>
        </w:rPr>
        <w:t>.</w:t>
      </w:r>
    </w:p>
    <w:p w14:paraId="3F708B82" w14:textId="488B112E" w:rsidR="000F0E97" w:rsidRPr="00114CB2" w:rsidRDefault="000F0E97" w:rsidP="000F0E97">
      <w:pPr>
        <w:spacing w:before="240" w:after="120"/>
        <w:jc w:val="thaiDistribute"/>
        <w:rPr>
          <w:b/>
          <w:bCs/>
          <w:sz w:val="28"/>
          <w:szCs w:val="28"/>
        </w:rPr>
      </w:pPr>
      <w:bookmarkStart w:id="1" w:name="OLE_LINK1"/>
      <w:bookmarkStart w:id="2" w:name="OLE_LINK2"/>
      <w:r w:rsidRPr="00114CB2">
        <w:rPr>
          <w:b/>
          <w:bCs/>
          <w:sz w:val="28"/>
          <w:szCs w:val="28"/>
        </w:rPr>
        <w:t>Emphasis of Matter</w:t>
      </w:r>
    </w:p>
    <w:p w14:paraId="5FB5D5C6" w14:textId="3012DA9A" w:rsidR="00114CB2" w:rsidRPr="0006108D" w:rsidRDefault="000F0E97" w:rsidP="0006108D">
      <w:pPr>
        <w:pStyle w:val="ListParagraph"/>
        <w:numPr>
          <w:ilvl w:val="0"/>
          <w:numId w:val="8"/>
        </w:numPr>
        <w:spacing w:before="160"/>
        <w:ind w:left="360"/>
        <w:jc w:val="thaiDistribute"/>
        <w:rPr>
          <w:rFonts w:asciiTheme="majorBidi" w:hAnsiTheme="majorBidi" w:cstheme="majorBidi"/>
          <w:spacing w:val="-3"/>
          <w:sz w:val="28"/>
        </w:rPr>
      </w:pPr>
      <w:r w:rsidRPr="00114CB2">
        <w:rPr>
          <w:rFonts w:asciiTheme="majorBidi" w:hAnsiTheme="majorBidi" w:cstheme="majorBidi"/>
          <w:spacing w:val="-3"/>
          <w:sz w:val="28"/>
        </w:rPr>
        <w:t xml:space="preserve">As disclosed in </w:t>
      </w:r>
      <w:r w:rsidR="00583E19">
        <w:rPr>
          <w:rFonts w:asciiTheme="majorBidi" w:hAnsiTheme="majorBidi" w:cstheme="majorBidi"/>
          <w:spacing w:val="-3"/>
          <w:sz w:val="28"/>
        </w:rPr>
        <w:t>N</w:t>
      </w:r>
      <w:r w:rsidRPr="00114CB2">
        <w:rPr>
          <w:rFonts w:asciiTheme="majorBidi" w:hAnsiTheme="majorBidi" w:cstheme="majorBidi"/>
          <w:spacing w:val="-3"/>
          <w:sz w:val="28"/>
        </w:rPr>
        <w:t>ote 2</w:t>
      </w:r>
      <w:r w:rsidR="001D362D" w:rsidRPr="00114CB2">
        <w:rPr>
          <w:rFonts w:asciiTheme="majorBidi" w:hAnsiTheme="majorBidi" w:cstheme="majorBidi"/>
          <w:spacing w:val="-3"/>
          <w:sz w:val="28"/>
        </w:rPr>
        <w:t>8</w:t>
      </w:r>
      <w:r w:rsidRPr="00114CB2">
        <w:rPr>
          <w:rFonts w:asciiTheme="majorBidi" w:hAnsiTheme="majorBidi" w:cstheme="majorBidi"/>
          <w:spacing w:val="-3"/>
          <w:sz w:val="28"/>
        </w:rPr>
        <w:t xml:space="preserve"> to the financial statements, during the </w:t>
      </w:r>
      <w:r w:rsidR="001D362D" w:rsidRPr="00114CB2">
        <w:rPr>
          <w:rFonts w:asciiTheme="majorBidi" w:hAnsiTheme="majorBidi" w:cstheme="majorBidi"/>
          <w:spacing w:val="-3"/>
          <w:sz w:val="28"/>
        </w:rPr>
        <w:t>year</w:t>
      </w:r>
      <w:r w:rsidRPr="00114CB2">
        <w:rPr>
          <w:rFonts w:asciiTheme="majorBidi" w:hAnsiTheme="majorBidi" w:cstheme="majorBidi"/>
          <w:spacing w:val="-3"/>
          <w:sz w:val="28"/>
        </w:rPr>
        <w:t xml:space="preserve"> 2025, the Company corrected an error related to the recording of </w:t>
      </w:r>
      <w:r w:rsidR="007A7597" w:rsidRPr="00114CB2">
        <w:rPr>
          <w:rFonts w:asciiTheme="majorBidi" w:hAnsiTheme="majorBidi" w:cstheme="majorBidi"/>
          <w:spacing w:val="-3"/>
          <w:sz w:val="28"/>
        </w:rPr>
        <w:t>the</w:t>
      </w:r>
      <w:r w:rsidRPr="00114CB2">
        <w:rPr>
          <w:rFonts w:asciiTheme="majorBidi" w:hAnsiTheme="majorBidi" w:cstheme="majorBidi"/>
          <w:spacing w:val="-3"/>
          <w:sz w:val="28"/>
        </w:rPr>
        <w:t xml:space="preserve"> investment in an </w:t>
      </w:r>
      <w:r w:rsidR="00A110B5" w:rsidRPr="00114CB2">
        <w:rPr>
          <w:rFonts w:asciiTheme="majorBidi" w:hAnsiTheme="majorBidi" w:cstheme="majorBidi"/>
          <w:spacing w:val="-3"/>
          <w:sz w:val="28"/>
        </w:rPr>
        <w:t xml:space="preserve">indirect </w:t>
      </w:r>
      <w:r w:rsidRPr="00114CB2">
        <w:rPr>
          <w:rFonts w:asciiTheme="majorBidi" w:hAnsiTheme="majorBidi" w:cstheme="majorBidi"/>
          <w:spacing w:val="-3"/>
          <w:sz w:val="28"/>
        </w:rPr>
        <w:t>associate under the equity method</w:t>
      </w:r>
      <w:r w:rsidR="001D362D" w:rsidRPr="00114CB2">
        <w:rPr>
          <w:rFonts w:asciiTheme="majorBidi" w:hAnsiTheme="majorBidi" w:cstheme="majorBidi"/>
          <w:spacing w:val="-3"/>
          <w:sz w:val="28"/>
        </w:rPr>
        <w:t>,</w:t>
      </w:r>
      <w:r w:rsidRPr="00114CB2">
        <w:rPr>
          <w:rFonts w:asciiTheme="majorBidi" w:hAnsiTheme="majorBidi" w:cstheme="majorBidi"/>
          <w:spacing w:val="-3"/>
          <w:sz w:val="28"/>
        </w:rPr>
        <w:t xml:space="preserve"> </w:t>
      </w:r>
      <w:r w:rsidR="001D362D" w:rsidRPr="00114CB2">
        <w:rPr>
          <w:rFonts w:asciiTheme="majorBidi" w:hAnsiTheme="majorBidi" w:cstheme="majorBidi"/>
          <w:spacing w:val="-3"/>
          <w:sz w:val="28"/>
        </w:rPr>
        <w:t xml:space="preserve">trade and other current receivables, contract assets, </w:t>
      </w:r>
      <w:r w:rsidR="0006108D">
        <w:rPr>
          <w:rFonts w:asciiTheme="majorBidi" w:hAnsiTheme="majorBidi" w:cstheme="majorBidi"/>
          <w:spacing w:val="-3"/>
          <w:sz w:val="28"/>
        </w:rPr>
        <w:t>i</w:t>
      </w:r>
      <w:r w:rsidR="0006108D" w:rsidRPr="0006108D">
        <w:rPr>
          <w:rFonts w:asciiTheme="majorBidi" w:hAnsiTheme="majorBidi" w:cstheme="majorBidi"/>
          <w:spacing w:val="-3"/>
          <w:sz w:val="28"/>
        </w:rPr>
        <w:t>nvestment in non-marketable equity instruments</w:t>
      </w:r>
      <w:r w:rsidR="0006108D">
        <w:rPr>
          <w:rFonts w:asciiTheme="majorBidi" w:hAnsiTheme="majorBidi" w:cstheme="majorBidi"/>
          <w:spacing w:val="-3"/>
          <w:sz w:val="28"/>
        </w:rPr>
        <w:t xml:space="preserve">, </w:t>
      </w:r>
      <w:r w:rsidR="00461CE6" w:rsidRPr="00461CE6">
        <w:rPr>
          <w:rFonts w:asciiTheme="majorBidi" w:hAnsiTheme="majorBidi" w:cstheme="majorBidi"/>
          <w:spacing w:val="-3"/>
          <w:sz w:val="28"/>
        </w:rPr>
        <w:t>Property, plant and equipment</w:t>
      </w:r>
      <w:r w:rsidR="00461CE6">
        <w:rPr>
          <w:rFonts w:asciiTheme="majorBidi" w:hAnsiTheme="majorBidi" w:cstheme="majorBidi"/>
          <w:spacing w:val="-3"/>
          <w:sz w:val="28"/>
        </w:rPr>
        <w:t xml:space="preserve">, </w:t>
      </w:r>
      <w:r w:rsidR="0006108D">
        <w:rPr>
          <w:rFonts w:asciiTheme="majorBidi" w:hAnsiTheme="majorBidi" w:cstheme="majorBidi"/>
          <w:spacing w:val="-3"/>
          <w:sz w:val="28"/>
        </w:rPr>
        <w:t>l</w:t>
      </w:r>
      <w:r w:rsidR="0006108D" w:rsidRPr="0006108D">
        <w:rPr>
          <w:rFonts w:asciiTheme="majorBidi" w:hAnsiTheme="majorBidi" w:cstheme="majorBidi"/>
          <w:spacing w:val="-3"/>
          <w:sz w:val="28"/>
        </w:rPr>
        <w:t>ease liabilities</w:t>
      </w:r>
      <w:r w:rsidR="0006108D">
        <w:rPr>
          <w:rFonts w:asciiTheme="majorBidi" w:hAnsiTheme="majorBidi" w:cstheme="majorBidi"/>
          <w:spacing w:val="-3"/>
          <w:sz w:val="28"/>
        </w:rPr>
        <w:t xml:space="preserve"> and c</w:t>
      </w:r>
      <w:r w:rsidR="0006108D" w:rsidRPr="0006108D">
        <w:rPr>
          <w:rFonts w:asciiTheme="majorBidi" w:hAnsiTheme="majorBidi" w:cstheme="majorBidi"/>
          <w:spacing w:val="-3"/>
          <w:sz w:val="28"/>
        </w:rPr>
        <w:t>onvertible options</w:t>
      </w:r>
      <w:r w:rsidR="00583E19">
        <w:rPr>
          <w:rFonts w:asciiTheme="majorBidi" w:hAnsiTheme="majorBidi" w:cstheme="majorBidi"/>
          <w:spacing w:val="-3"/>
          <w:sz w:val="28"/>
        </w:rPr>
        <w:t>.</w:t>
      </w:r>
      <w:r w:rsidR="0006108D">
        <w:rPr>
          <w:rFonts w:asciiTheme="majorBidi" w:hAnsiTheme="majorBidi" w:cstheme="majorBidi"/>
          <w:spacing w:val="-3"/>
          <w:sz w:val="28"/>
        </w:rPr>
        <w:t xml:space="preserve"> </w:t>
      </w:r>
      <w:r w:rsidR="00583E19">
        <w:rPr>
          <w:rFonts w:asciiTheme="majorBidi" w:hAnsiTheme="majorBidi" w:cstheme="majorBidi"/>
          <w:spacing w:val="-3"/>
          <w:sz w:val="28"/>
        </w:rPr>
        <w:t>T</w:t>
      </w:r>
      <w:r w:rsidRPr="00114CB2">
        <w:rPr>
          <w:rFonts w:asciiTheme="majorBidi" w:hAnsiTheme="majorBidi" w:cstheme="majorBidi"/>
          <w:spacing w:val="-3"/>
          <w:sz w:val="28"/>
        </w:rPr>
        <w:t>he Company retrospectively adjusted the statement of financial position as of</w:t>
      </w:r>
      <w:r w:rsidR="00FD007A" w:rsidRPr="00114CB2">
        <w:rPr>
          <w:rFonts w:asciiTheme="majorBidi" w:hAnsiTheme="majorBidi" w:cstheme="majorBidi"/>
          <w:spacing w:val="-3"/>
          <w:sz w:val="28"/>
        </w:rPr>
        <w:t xml:space="preserve"> </w:t>
      </w:r>
      <w:r w:rsidRPr="00114CB2">
        <w:rPr>
          <w:rFonts w:asciiTheme="majorBidi" w:hAnsiTheme="majorBidi" w:cstheme="majorBidi"/>
          <w:spacing w:val="-3"/>
          <w:sz w:val="28"/>
        </w:rPr>
        <w:t xml:space="preserve">December 31, </w:t>
      </w:r>
      <w:proofErr w:type="gramStart"/>
      <w:r w:rsidRPr="00114CB2">
        <w:rPr>
          <w:rFonts w:asciiTheme="majorBidi" w:hAnsiTheme="majorBidi" w:cstheme="majorBidi"/>
          <w:spacing w:val="-3"/>
          <w:sz w:val="28"/>
        </w:rPr>
        <w:t>2024</w:t>
      </w:r>
      <w:proofErr w:type="gramEnd"/>
      <w:r w:rsidR="002726DB" w:rsidRPr="00114CB2">
        <w:rPr>
          <w:rFonts w:asciiTheme="majorBidi" w:hAnsiTheme="majorBidi" w:cstheme="majorBidi"/>
          <w:spacing w:val="-3"/>
          <w:sz w:val="28"/>
        </w:rPr>
        <w:t xml:space="preserve"> and the statement of financial position as of </w:t>
      </w:r>
      <w:r w:rsidR="00114CB2" w:rsidRPr="00114CB2">
        <w:rPr>
          <w:rFonts w:asciiTheme="majorBidi" w:hAnsiTheme="majorBidi" w:cstheme="majorBidi"/>
          <w:spacing w:val="-3"/>
          <w:sz w:val="28"/>
        </w:rPr>
        <w:t>January</w:t>
      </w:r>
      <w:r w:rsidR="002726DB" w:rsidRPr="00114CB2">
        <w:rPr>
          <w:rFonts w:asciiTheme="majorBidi" w:hAnsiTheme="majorBidi" w:cstheme="majorBidi"/>
          <w:spacing w:val="-3"/>
          <w:sz w:val="28"/>
        </w:rPr>
        <w:t xml:space="preserve"> 1, 2024</w:t>
      </w:r>
      <w:r w:rsidR="002C18B2" w:rsidRPr="0006108D">
        <w:rPr>
          <w:rFonts w:asciiTheme="majorBidi" w:hAnsiTheme="majorBidi" w:cstheme="majorBidi"/>
          <w:spacing w:val="-3"/>
          <w:sz w:val="28"/>
        </w:rPr>
        <w:t>,</w:t>
      </w:r>
      <w:r w:rsidR="002C18B2" w:rsidRPr="0006108D">
        <w:rPr>
          <w:rFonts w:asciiTheme="majorBidi" w:eastAsia="Times New Roman" w:hAnsiTheme="majorBidi" w:cstheme="majorBidi"/>
          <w:spacing w:val="-3"/>
          <w:sz w:val="28"/>
          <w:szCs w:val="32"/>
        </w:rPr>
        <w:t xml:space="preserve"> </w:t>
      </w:r>
      <w:r w:rsidR="002C18B2" w:rsidRPr="0006108D">
        <w:rPr>
          <w:rFonts w:asciiTheme="majorBidi" w:hAnsiTheme="majorBidi" w:cstheme="majorBidi"/>
          <w:spacing w:val="-3"/>
          <w:sz w:val="28"/>
        </w:rPr>
        <w:t xml:space="preserve">which </w:t>
      </w:r>
      <w:r w:rsidR="00583E19">
        <w:rPr>
          <w:rFonts w:asciiTheme="majorBidi" w:hAnsiTheme="majorBidi" w:cstheme="majorBidi"/>
          <w:spacing w:val="-3"/>
          <w:sz w:val="28"/>
        </w:rPr>
        <w:t>are</w:t>
      </w:r>
      <w:r w:rsidR="002C18B2" w:rsidRPr="0006108D">
        <w:rPr>
          <w:rFonts w:asciiTheme="majorBidi" w:hAnsiTheme="majorBidi" w:cstheme="majorBidi"/>
          <w:spacing w:val="-3"/>
          <w:sz w:val="28"/>
        </w:rPr>
        <w:t xml:space="preserve"> presented as comparative information.</w:t>
      </w:r>
    </w:p>
    <w:p w14:paraId="70A4EB32" w14:textId="2FDEEB01" w:rsidR="009A6905" w:rsidRDefault="009A6905" w:rsidP="009A6905">
      <w:pPr>
        <w:pStyle w:val="ListParagraph"/>
        <w:numPr>
          <w:ilvl w:val="0"/>
          <w:numId w:val="8"/>
        </w:numPr>
        <w:spacing w:before="160"/>
        <w:ind w:left="360"/>
        <w:jc w:val="thaiDistribute"/>
        <w:rPr>
          <w:rFonts w:asciiTheme="majorBidi" w:hAnsiTheme="majorBidi" w:cstheme="majorBidi"/>
          <w:spacing w:val="-2"/>
          <w:sz w:val="28"/>
        </w:rPr>
      </w:pPr>
      <w:r w:rsidRPr="002C18B2">
        <w:rPr>
          <w:rFonts w:asciiTheme="majorBidi" w:hAnsiTheme="majorBidi" w:cstheme="majorBidi"/>
          <w:spacing w:val="-2"/>
          <w:sz w:val="28"/>
        </w:rPr>
        <w:t xml:space="preserve">As disclosed in </w:t>
      </w:r>
      <w:r w:rsidR="00583E19">
        <w:rPr>
          <w:rFonts w:asciiTheme="majorBidi" w:hAnsiTheme="majorBidi" w:cstheme="majorBidi"/>
          <w:spacing w:val="-2"/>
          <w:sz w:val="28"/>
        </w:rPr>
        <w:t>N</w:t>
      </w:r>
      <w:r w:rsidRPr="002C18B2">
        <w:rPr>
          <w:rFonts w:asciiTheme="majorBidi" w:hAnsiTheme="majorBidi" w:cstheme="majorBidi"/>
          <w:spacing w:val="-2"/>
          <w:sz w:val="28"/>
        </w:rPr>
        <w:t>ote 4</w:t>
      </w:r>
      <w:r w:rsidR="00F60A00" w:rsidRPr="002C18B2">
        <w:rPr>
          <w:rFonts w:asciiTheme="majorBidi" w:hAnsiTheme="majorBidi" w:cstheme="majorBidi"/>
          <w:spacing w:val="-2"/>
          <w:sz w:val="28"/>
        </w:rPr>
        <w:t>,</w:t>
      </w:r>
      <w:r w:rsidRPr="002C18B2">
        <w:rPr>
          <w:rFonts w:asciiTheme="majorBidi" w:hAnsiTheme="majorBidi" w:cstheme="majorBidi"/>
          <w:spacing w:val="-2"/>
          <w:sz w:val="28"/>
        </w:rPr>
        <w:t xml:space="preserve"> </w:t>
      </w:r>
      <w:r w:rsidR="002C18B2" w:rsidRPr="002C18B2">
        <w:rPr>
          <w:rFonts w:asciiTheme="majorBidi" w:hAnsiTheme="majorBidi" w:cstheme="majorBidi"/>
          <w:spacing w:val="-2"/>
          <w:sz w:val="28"/>
        </w:rPr>
        <w:t>6</w:t>
      </w:r>
      <w:r w:rsidR="00F60A00" w:rsidRPr="002C18B2">
        <w:rPr>
          <w:rFonts w:asciiTheme="majorBidi" w:hAnsiTheme="majorBidi" w:cstheme="majorBidi"/>
          <w:spacing w:val="-2"/>
          <w:sz w:val="28"/>
        </w:rPr>
        <w:t>,</w:t>
      </w:r>
      <w:r w:rsidRPr="002C18B2">
        <w:rPr>
          <w:rFonts w:asciiTheme="majorBidi" w:hAnsiTheme="majorBidi" w:cstheme="majorBidi"/>
          <w:spacing w:val="-2"/>
          <w:sz w:val="28"/>
        </w:rPr>
        <w:t xml:space="preserve"> </w:t>
      </w:r>
      <w:r w:rsidR="002C18B2" w:rsidRPr="002C18B2">
        <w:rPr>
          <w:rFonts w:asciiTheme="majorBidi" w:hAnsiTheme="majorBidi" w:cstheme="majorBidi"/>
          <w:spacing w:val="-2"/>
          <w:sz w:val="28"/>
        </w:rPr>
        <w:t>8</w:t>
      </w:r>
      <w:r w:rsidR="00F60A00" w:rsidRPr="002C18B2">
        <w:rPr>
          <w:rFonts w:asciiTheme="majorBidi" w:hAnsiTheme="majorBidi" w:cstheme="majorBidi"/>
          <w:spacing w:val="-2"/>
          <w:sz w:val="28"/>
        </w:rPr>
        <w:t>,</w:t>
      </w:r>
      <w:r w:rsidRPr="002C18B2">
        <w:rPr>
          <w:rFonts w:asciiTheme="majorBidi" w:hAnsiTheme="majorBidi" w:cstheme="majorBidi"/>
          <w:spacing w:val="-2"/>
          <w:sz w:val="28"/>
        </w:rPr>
        <w:t xml:space="preserve"> </w:t>
      </w:r>
      <w:r w:rsidR="002C18B2" w:rsidRPr="002C18B2">
        <w:rPr>
          <w:rFonts w:asciiTheme="majorBidi" w:hAnsiTheme="majorBidi" w:cstheme="majorBidi"/>
          <w:spacing w:val="-2"/>
          <w:sz w:val="28"/>
        </w:rPr>
        <w:t>9</w:t>
      </w:r>
      <w:r w:rsidRPr="002C18B2">
        <w:rPr>
          <w:rFonts w:asciiTheme="majorBidi" w:hAnsiTheme="majorBidi" w:cstheme="majorBidi"/>
          <w:spacing w:val="-2"/>
          <w:sz w:val="28"/>
        </w:rPr>
        <w:t xml:space="preserve"> and</w:t>
      </w:r>
      <w:r w:rsidR="00583E19">
        <w:rPr>
          <w:rFonts w:asciiTheme="majorBidi" w:hAnsiTheme="majorBidi" w:cstheme="majorBidi"/>
          <w:spacing w:val="-2"/>
          <w:sz w:val="28"/>
        </w:rPr>
        <w:t xml:space="preserve"> </w:t>
      </w:r>
      <w:r w:rsidR="002C18B2" w:rsidRPr="002C18B2">
        <w:rPr>
          <w:rFonts w:asciiTheme="majorBidi" w:hAnsiTheme="majorBidi" w:cstheme="majorBidi"/>
          <w:spacing w:val="-2"/>
          <w:sz w:val="28"/>
        </w:rPr>
        <w:t>11</w:t>
      </w:r>
      <w:r w:rsidRPr="002C18B2">
        <w:rPr>
          <w:rFonts w:asciiTheme="majorBidi" w:hAnsiTheme="majorBidi" w:cstheme="majorBidi"/>
          <w:spacing w:val="-2"/>
          <w:sz w:val="28"/>
        </w:rPr>
        <w:t xml:space="preserve"> to the financial statements, the Company has made accounting adjustments relating to loans</w:t>
      </w:r>
      <w:r w:rsidR="00A110B5" w:rsidRPr="002C18B2">
        <w:rPr>
          <w:rFonts w:asciiTheme="majorBidi" w:hAnsiTheme="majorBidi" w:cstheme="majorBidi"/>
          <w:spacing w:val="-2"/>
          <w:sz w:val="28"/>
        </w:rPr>
        <w:t>,</w:t>
      </w:r>
      <w:r w:rsidRPr="002C18B2">
        <w:rPr>
          <w:rFonts w:asciiTheme="majorBidi" w:hAnsiTheme="majorBidi" w:cstheme="majorBidi"/>
          <w:spacing w:val="-2"/>
          <w:sz w:val="28"/>
        </w:rPr>
        <w:t xml:space="preserve"> </w:t>
      </w:r>
      <w:r w:rsidR="00A110B5" w:rsidRPr="002C18B2">
        <w:rPr>
          <w:rFonts w:asciiTheme="majorBidi" w:hAnsiTheme="majorBidi" w:cstheme="majorBidi"/>
          <w:spacing w:val="-2"/>
          <w:sz w:val="28"/>
        </w:rPr>
        <w:t>the</w:t>
      </w:r>
      <w:r w:rsidRPr="002C18B2">
        <w:rPr>
          <w:rFonts w:asciiTheme="majorBidi" w:hAnsiTheme="majorBidi" w:cstheme="majorBidi"/>
          <w:spacing w:val="-2"/>
          <w:sz w:val="28"/>
        </w:rPr>
        <w:t xml:space="preserve"> other </w:t>
      </w:r>
      <w:r w:rsidR="00A110B5" w:rsidRPr="002C18B2">
        <w:rPr>
          <w:rFonts w:asciiTheme="majorBidi" w:hAnsiTheme="majorBidi" w:cstheme="majorBidi"/>
          <w:spacing w:val="-2"/>
          <w:sz w:val="28"/>
        </w:rPr>
        <w:t>receivables</w:t>
      </w:r>
      <w:r w:rsidRPr="002C18B2">
        <w:rPr>
          <w:rFonts w:asciiTheme="majorBidi" w:hAnsiTheme="majorBidi" w:cstheme="majorBidi"/>
          <w:spacing w:val="-2"/>
          <w:sz w:val="28"/>
        </w:rPr>
        <w:t xml:space="preserve"> and accrued interest of related parties, the allowance for inventories due to expected realizable value being lower than cost, investments in </w:t>
      </w:r>
      <w:r w:rsidR="00A110B5" w:rsidRPr="002C18B2">
        <w:rPr>
          <w:rFonts w:asciiTheme="majorBidi" w:hAnsiTheme="majorBidi" w:cstheme="majorBidi"/>
          <w:spacing w:val="-2"/>
          <w:sz w:val="28"/>
        </w:rPr>
        <w:t>associate</w:t>
      </w:r>
      <w:r w:rsidR="00583E19">
        <w:rPr>
          <w:rFonts w:asciiTheme="majorBidi" w:hAnsiTheme="majorBidi" w:cstheme="majorBidi"/>
          <w:spacing w:val="-2"/>
          <w:sz w:val="28"/>
        </w:rPr>
        <w:t>s</w:t>
      </w:r>
      <w:r w:rsidRPr="002C18B2">
        <w:rPr>
          <w:rFonts w:asciiTheme="majorBidi" w:hAnsiTheme="majorBidi" w:cstheme="majorBidi"/>
          <w:spacing w:val="-2"/>
          <w:sz w:val="28"/>
        </w:rPr>
        <w:t xml:space="preserve"> and investments in subsidiaries, which have an impact on the financial statements for the </w:t>
      </w:r>
      <w:r w:rsidR="002C18B2" w:rsidRPr="002C18B2">
        <w:rPr>
          <w:rFonts w:asciiTheme="majorBidi" w:hAnsiTheme="majorBidi" w:cstheme="majorBidi"/>
          <w:spacing w:val="-2"/>
          <w:sz w:val="28"/>
        </w:rPr>
        <w:t>year</w:t>
      </w:r>
      <w:r w:rsidRPr="002C18B2">
        <w:rPr>
          <w:rFonts w:asciiTheme="majorBidi" w:hAnsiTheme="majorBidi" w:cstheme="majorBidi"/>
          <w:spacing w:val="-2"/>
          <w:sz w:val="28"/>
        </w:rPr>
        <w:t xml:space="preserve"> ended </w:t>
      </w:r>
      <w:r w:rsidR="002C18B2" w:rsidRPr="002C18B2">
        <w:rPr>
          <w:rFonts w:asciiTheme="majorBidi" w:hAnsiTheme="majorBidi" w:cstheme="majorBidi"/>
          <w:spacing w:val="-2"/>
          <w:sz w:val="28"/>
        </w:rPr>
        <w:t>December</w:t>
      </w:r>
      <w:r w:rsidRPr="002C18B2">
        <w:rPr>
          <w:rFonts w:asciiTheme="majorBidi" w:hAnsiTheme="majorBidi" w:cstheme="majorBidi"/>
          <w:spacing w:val="-2"/>
          <w:sz w:val="28"/>
        </w:rPr>
        <w:t xml:space="preserve"> 3</w:t>
      </w:r>
      <w:r w:rsidR="002C18B2" w:rsidRPr="002C18B2">
        <w:rPr>
          <w:rFonts w:asciiTheme="majorBidi" w:hAnsiTheme="majorBidi" w:cstheme="majorBidi"/>
          <w:spacing w:val="-2"/>
          <w:sz w:val="28"/>
        </w:rPr>
        <w:t>1</w:t>
      </w:r>
      <w:r w:rsidRPr="002C18B2">
        <w:rPr>
          <w:rFonts w:asciiTheme="majorBidi" w:hAnsiTheme="majorBidi" w:cstheme="majorBidi"/>
          <w:spacing w:val="-2"/>
          <w:sz w:val="28"/>
        </w:rPr>
        <w:t>, 2025.</w:t>
      </w:r>
    </w:p>
    <w:p w14:paraId="34C8E29A" w14:textId="5D0F85BF" w:rsidR="000E4FAE" w:rsidRPr="00D03A03" w:rsidRDefault="006567E8" w:rsidP="00B5710D">
      <w:pPr>
        <w:spacing w:before="240" w:after="120"/>
        <w:jc w:val="thaiDistribute"/>
        <w:rPr>
          <w:b/>
          <w:bCs/>
          <w:sz w:val="28"/>
          <w:szCs w:val="28"/>
        </w:rPr>
      </w:pPr>
      <w:r w:rsidRPr="00141AA8">
        <w:rPr>
          <w:b/>
          <w:bCs/>
          <w:sz w:val="28"/>
          <w:szCs w:val="28"/>
        </w:rPr>
        <w:t>Other Matter</w:t>
      </w:r>
    </w:p>
    <w:p w14:paraId="6E4F4C13" w14:textId="36D9951F" w:rsidR="00896115" w:rsidRPr="00463D0F" w:rsidRDefault="00231FDD" w:rsidP="00463D0F">
      <w:pPr>
        <w:spacing w:before="120" w:after="120"/>
        <w:ind w:right="43"/>
        <w:jc w:val="thaiDistribute"/>
        <w:rPr>
          <w:color w:val="000000"/>
          <w:spacing w:val="-2"/>
          <w:sz w:val="28"/>
          <w:szCs w:val="28"/>
        </w:rPr>
      </w:pPr>
      <w:r w:rsidRPr="00231FDD">
        <w:rPr>
          <w:color w:val="000000"/>
          <w:spacing w:val="-2"/>
          <w:sz w:val="28"/>
          <w:szCs w:val="28"/>
        </w:rPr>
        <w:t>The consolidated and separate statements of financial position as at December 31, 2024</w:t>
      </w:r>
      <w:r w:rsidR="00317C24">
        <w:rPr>
          <w:color w:val="000000"/>
          <w:spacing w:val="-2"/>
          <w:sz w:val="28"/>
          <w:szCs w:val="28"/>
        </w:rPr>
        <w:t xml:space="preserve"> </w:t>
      </w:r>
      <w:r w:rsidR="00317C24">
        <w:rPr>
          <w:rFonts w:hint="cs"/>
          <w:color w:val="000000"/>
          <w:spacing w:val="-2"/>
          <w:sz w:val="28"/>
          <w:szCs w:val="28"/>
          <w:cs/>
        </w:rPr>
        <w:t>(</w:t>
      </w:r>
      <w:r w:rsidR="00956EDF">
        <w:rPr>
          <w:color w:val="000000"/>
          <w:spacing w:val="-2"/>
          <w:sz w:val="28"/>
          <w:szCs w:val="28"/>
        </w:rPr>
        <w:t>B</w:t>
      </w:r>
      <w:r w:rsidR="00317C24">
        <w:rPr>
          <w:color w:val="000000"/>
          <w:spacing w:val="-2"/>
          <w:sz w:val="28"/>
          <w:szCs w:val="28"/>
        </w:rPr>
        <w:t>efore adjusted)</w:t>
      </w:r>
      <w:r w:rsidRPr="00231FDD">
        <w:rPr>
          <w:color w:val="000000"/>
          <w:spacing w:val="-2"/>
          <w:sz w:val="28"/>
          <w:szCs w:val="28"/>
        </w:rPr>
        <w:t>, of Cho Thavee Public Company Limited and its subsidiaries and of Cho Thavee Public Company Limited respectively, which have been presented herewith for comparative purposes, were audited by another auditor, whose report dated February 27, 2025</w:t>
      </w:r>
      <w:r w:rsidR="00EA67C0">
        <w:rPr>
          <w:rFonts w:hint="cs"/>
          <w:color w:val="000000"/>
          <w:spacing w:val="-2"/>
          <w:sz w:val="28"/>
          <w:szCs w:val="28"/>
          <w:cs/>
        </w:rPr>
        <w:t xml:space="preserve"> </w:t>
      </w:r>
      <w:r w:rsidRPr="00231FDD">
        <w:rPr>
          <w:color w:val="000000"/>
          <w:spacing w:val="-2"/>
          <w:sz w:val="28"/>
          <w:szCs w:val="28"/>
        </w:rPr>
        <w:t>expressed a disclaimer of opinion on the consolidated and separate financial statements</w:t>
      </w:r>
      <w:r w:rsidR="00CC24D4">
        <w:rPr>
          <w:color w:val="000000"/>
          <w:spacing w:val="-2"/>
          <w:sz w:val="28"/>
          <w:szCs w:val="28"/>
        </w:rPr>
        <w:t>, b</w:t>
      </w:r>
      <w:r w:rsidRPr="00231FDD">
        <w:rPr>
          <w:color w:val="000000"/>
          <w:spacing w:val="-2"/>
          <w:sz w:val="28"/>
          <w:szCs w:val="28"/>
        </w:rPr>
        <w:t>ecause of unable to obtain sufficient appropriate audit evidence to provide an audit opinion for the Company’s ability to continue as going concerns which indicate that material uncertainties exist that may cast significant doubt on the Group’s and the Company’s ability to continue as going concerns.</w:t>
      </w:r>
      <w:bookmarkEnd w:id="1"/>
      <w:bookmarkEnd w:id="2"/>
    </w:p>
    <w:p w14:paraId="54D14147" w14:textId="77777777" w:rsidR="00B51EC7" w:rsidRPr="0086607F" w:rsidRDefault="00B51EC7" w:rsidP="00B51EC7">
      <w:pPr>
        <w:spacing w:before="200" w:after="120"/>
        <w:jc w:val="thaiDistribute"/>
        <w:rPr>
          <w:b/>
          <w:bCs/>
          <w:sz w:val="28"/>
        </w:rPr>
      </w:pPr>
      <w:r w:rsidRPr="0086607F">
        <w:rPr>
          <w:b/>
          <w:bCs/>
          <w:sz w:val="28"/>
        </w:rPr>
        <w:lastRenderedPageBreak/>
        <w:t xml:space="preserve">Responsibilities of Management and Those Charged with Governance for the </w:t>
      </w:r>
      <w:r w:rsidRPr="00E109C0">
        <w:rPr>
          <w:b/>
          <w:bCs/>
          <w:sz w:val="28"/>
        </w:rPr>
        <w:t>Consolidated and Separate Financial Statements</w:t>
      </w:r>
    </w:p>
    <w:p w14:paraId="7AC212E9" w14:textId="77777777" w:rsidR="00B51EC7" w:rsidRPr="00E109C0" w:rsidRDefault="00B51EC7" w:rsidP="00B51EC7">
      <w:pPr>
        <w:spacing w:before="120" w:after="120"/>
        <w:ind w:right="43"/>
        <w:jc w:val="thaiDistribute"/>
        <w:rPr>
          <w:sz w:val="28"/>
        </w:rPr>
      </w:pPr>
      <w:r w:rsidRPr="00E109C0">
        <w:rPr>
          <w:sz w:val="28"/>
        </w:rPr>
        <w:t xml:space="preserve">Management is responsible for the preparation and fair presentation of the </w:t>
      </w:r>
      <w:r w:rsidRPr="00E109C0">
        <w:rPr>
          <w:sz w:val="30"/>
          <w:szCs w:val="30"/>
        </w:rPr>
        <w:t>consolidated and separate financial statements</w:t>
      </w:r>
      <w:r w:rsidRPr="00E109C0">
        <w:rPr>
          <w:sz w:val="28"/>
        </w:rPr>
        <w:t xml:space="preserve"> in accordance with </w:t>
      </w:r>
      <w:r>
        <w:rPr>
          <w:sz w:val="28"/>
        </w:rPr>
        <w:t>TFRSs</w:t>
      </w:r>
      <w:r w:rsidRPr="00E109C0">
        <w:rPr>
          <w:sz w:val="28"/>
        </w:rPr>
        <w:t>, and for such internal control as management determines is necessary to enable the preparation of</w:t>
      </w:r>
      <w:r w:rsidRPr="00E109C0">
        <w:t xml:space="preserve"> </w:t>
      </w:r>
      <w:r w:rsidRPr="00E109C0">
        <w:rPr>
          <w:sz w:val="28"/>
        </w:rPr>
        <w:t>consolidated and separate financial statements</w:t>
      </w:r>
      <w:r>
        <w:rPr>
          <w:sz w:val="28"/>
        </w:rPr>
        <w:t xml:space="preserve"> </w:t>
      </w:r>
      <w:r w:rsidRPr="00E109C0">
        <w:rPr>
          <w:sz w:val="28"/>
        </w:rPr>
        <w:t xml:space="preserve">that are free from material misstatement, whether </w:t>
      </w:r>
      <w:r>
        <w:rPr>
          <w:sz w:val="28"/>
        </w:rPr>
        <w:br/>
      </w:r>
      <w:r w:rsidRPr="00E109C0">
        <w:rPr>
          <w:sz w:val="28"/>
        </w:rPr>
        <w:t>due to fraud or error.</w:t>
      </w:r>
    </w:p>
    <w:p w14:paraId="025C77D9" w14:textId="67F90BDA" w:rsidR="00B51EC7" w:rsidRPr="00A945C6" w:rsidRDefault="00B51EC7" w:rsidP="00B51EC7">
      <w:pPr>
        <w:spacing w:before="120" w:after="120"/>
        <w:ind w:right="43"/>
        <w:jc w:val="thaiDistribute"/>
        <w:rPr>
          <w:color w:val="000000"/>
          <w:sz w:val="28"/>
        </w:rPr>
      </w:pPr>
      <w:r w:rsidRPr="00A945C6">
        <w:rPr>
          <w:color w:val="000000"/>
          <w:sz w:val="28"/>
        </w:rPr>
        <w:t>In preparing th</w:t>
      </w:r>
      <w:r>
        <w:rPr>
          <w:color w:val="000000"/>
          <w:sz w:val="28"/>
        </w:rPr>
        <w:t>e</w:t>
      </w:r>
      <w:r w:rsidRPr="00E109C0">
        <w:t xml:space="preserve"> </w:t>
      </w:r>
      <w:r w:rsidRPr="00E109C0">
        <w:rPr>
          <w:color w:val="000000"/>
          <w:sz w:val="28"/>
        </w:rPr>
        <w:t>consolidated and separate financial statements</w:t>
      </w:r>
      <w:r w:rsidRPr="00A945C6">
        <w:rPr>
          <w:color w:val="000000"/>
          <w:sz w:val="28"/>
        </w:rPr>
        <w:t>, management is responsible for assessing the Grou</w:t>
      </w:r>
      <w:r>
        <w:rPr>
          <w:color w:val="000000"/>
          <w:sz w:val="28"/>
        </w:rPr>
        <w:t>p</w:t>
      </w:r>
      <w:r w:rsidR="00BD6F72">
        <w:rPr>
          <w:color w:val="000000"/>
          <w:sz w:val="28"/>
        </w:rPr>
        <w:t>’s</w:t>
      </w:r>
      <w:r>
        <w:rPr>
          <w:color w:val="000000"/>
          <w:sz w:val="28"/>
        </w:rPr>
        <w:t xml:space="preserve"> and the Company’s</w:t>
      </w:r>
      <w:r w:rsidRPr="00A945C6">
        <w:rPr>
          <w:color w:val="000000"/>
          <w:sz w:val="28"/>
        </w:rPr>
        <w:t xml:space="preserve"> ability to continue as a going concern, disclosing, as applicable, matters related to going concern and using the going concern basis of accounting unless management either intends to liquidate the Group</w:t>
      </w:r>
      <w:r>
        <w:rPr>
          <w:color w:val="000000"/>
          <w:sz w:val="28"/>
        </w:rPr>
        <w:t xml:space="preserve"> and the Company</w:t>
      </w:r>
      <w:r w:rsidRPr="00A945C6">
        <w:rPr>
          <w:color w:val="000000"/>
          <w:sz w:val="28"/>
        </w:rPr>
        <w:t xml:space="preserve"> or to cease operations, or has no realistic alternative but to do so. </w:t>
      </w:r>
    </w:p>
    <w:p w14:paraId="388D537F" w14:textId="77777777" w:rsidR="00B26CCB" w:rsidRDefault="00B51EC7" w:rsidP="00461CE6">
      <w:pPr>
        <w:spacing w:before="120" w:after="120"/>
        <w:ind w:right="43"/>
        <w:jc w:val="thaiDistribute"/>
        <w:rPr>
          <w:b/>
          <w:bCs/>
          <w:sz w:val="28"/>
        </w:rPr>
      </w:pPr>
      <w:r w:rsidRPr="00A945C6">
        <w:rPr>
          <w:color w:val="000000"/>
          <w:sz w:val="28"/>
        </w:rPr>
        <w:t>Those charged with governance are responsible for overseeing the Group</w:t>
      </w:r>
      <w:r>
        <w:rPr>
          <w:color w:val="000000"/>
          <w:sz w:val="28"/>
        </w:rPr>
        <w:t xml:space="preserve"> and the Company </w:t>
      </w:r>
      <w:r w:rsidRPr="00A945C6">
        <w:rPr>
          <w:color w:val="000000"/>
          <w:sz w:val="28"/>
        </w:rPr>
        <w:t>financial reporting process.</w:t>
      </w:r>
    </w:p>
    <w:p w14:paraId="189AEBC1" w14:textId="41AD8327" w:rsidR="00B51EC7" w:rsidRDefault="00B51EC7" w:rsidP="00461CE6">
      <w:pPr>
        <w:spacing w:before="120" w:after="120"/>
        <w:ind w:right="43"/>
        <w:jc w:val="thaiDistribute"/>
        <w:rPr>
          <w:b/>
          <w:bCs/>
          <w:sz w:val="28"/>
        </w:rPr>
      </w:pPr>
      <w:r w:rsidRPr="00BD6F72">
        <w:rPr>
          <w:b/>
          <w:bCs/>
          <w:sz w:val="28"/>
        </w:rPr>
        <w:t xml:space="preserve">Auditor’s Responsibilities for the Audit of the Consolidated and Separate Financial Statements </w:t>
      </w:r>
    </w:p>
    <w:p w14:paraId="65573B75" w14:textId="77777777" w:rsidR="00BD6F72" w:rsidRPr="00BD6F72" w:rsidRDefault="00BD6F72" w:rsidP="00BD6F72">
      <w:pPr>
        <w:spacing w:before="200" w:after="120"/>
        <w:jc w:val="thaiDistribute"/>
        <w:rPr>
          <w:sz w:val="28"/>
        </w:rPr>
      </w:pPr>
      <w:r w:rsidRPr="00BD6F72">
        <w:rPr>
          <w:sz w:val="28"/>
        </w:rPr>
        <w:t>I am responsible for expressing an opinion on the consolidated and separate financial statements based on my audit in accordance with Thai Standards on Auditing. However, because of the matters described in the Basis for Disclaimer of Opinion section of my report, I was unable to obtain sufficient appropriate audit evidence to provide a basis for an audit opinion on these consolidated and separate financial statements.</w:t>
      </w:r>
    </w:p>
    <w:p w14:paraId="63D39B61" w14:textId="7628FE37" w:rsidR="00BD6F72" w:rsidRPr="00BD6F72" w:rsidRDefault="00BD6F72" w:rsidP="00BD6F72">
      <w:pPr>
        <w:spacing w:before="200" w:after="120"/>
        <w:jc w:val="thaiDistribute"/>
        <w:rPr>
          <w:sz w:val="28"/>
        </w:rPr>
      </w:pPr>
      <w:r w:rsidRPr="00BD6F72">
        <w:rPr>
          <w:sz w:val="28"/>
        </w:rPr>
        <w:t xml:space="preserve">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w:t>
      </w:r>
    </w:p>
    <w:p w14:paraId="6166E21A" w14:textId="77777777" w:rsidR="00B51EC7" w:rsidRPr="000F576A" w:rsidRDefault="00B51EC7" w:rsidP="00CE130B">
      <w:pPr>
        <w:rPr>
          <w:rFonts w:eastAsia="Angsana New"/>
          <w:sz w:val="24"/>
          <w:szCs w:val="24"/>
          <w:highlight w:val="yellow"/>
        </w:rPr>
      </w:pPr>
    </w:p>
    <w:p w14:paraId="2B8F2142" w14:textId="77777777" w:rsidR="00B5710D" w:rsidRDefault="00B5710D" w:rsidP="00CE130B">
      <w:pPr>
        <w:rPr>
          <w:rFonts w:eastAsia="Angsana New"/>
          <w:sz w:val="28"/>
          <w:szCs w:val="28"/>
          <w:highlight w:val="yellow"/>
        </w:rPr>
      </w:pPr>
    </w:p>
    <w:p w14:paraId="3DB972FC" w14:textId="77777777" w:rsidR="00582A6E" w:rsidRDefault="00582A6E" w:rsidP="00CE130B">
      <w:pPr>
        <w:rPr>
          <w:rFonts w:eastAsia="Angsana New"/>
          <w:sz w:val="28"/>
          <w:szCs w:val="28"/>
          <w:highlight w:val="yellow"/>
        </w:rPr>
      </w:pPr>
    </w:p>
    <w:p w14:paraId="0E7CF8DA" w14:textId="77777777" w:rsidR="00582A6E" w:rsidRDefault="00582A6E" w:rsidP="00CE130B">
      <w:pPr>
        <w:rPr>
          <w:rFonts w:eastAsia="Angsana New"/>
          <w:sz w:val="28"/>
          <w:szCs w:val="28"/>
          <w:highlight w:val="yellow"/>
        </w:rPr>
      </w:pPr>
    </w:p>
    <w:p w14:paraId="0727F147" w14:textId="77777777" w:rsidR="00582A6E" w:rsidRDefault="00582A6E" w:rsidP="00CE130B">
      <w:pPr>
        <w:rPr>
          <w:rFonts w:eastAsia="Angsana New"/>
          <w:sz w:val="28"/>
          <w:szCs w:val="28"/>
          <w:highlight w:val="yellow"/>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r w:rsidRPr="009B29C4">
        <w:rPr>
          <w:rFonts w:eastAsia="Angsana New"/>
          <w:sz w:val="30"/>
          <w:szCs w:val="30"/>
        </w:rPr>
        <w:t xml:space="preserve">Vichai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5753BC6E" w:rsidR="00F471B2" w:rsidRPr="009C5900" w:rsidRDefault="00896115" w:rsidP="00896115">
      <w:pPr>
        <w:tabs>
          <w:tab w:val="left" w:pos="1276"/>
        </w:tabs>
        <w:jc w:val="thaiDistribute"/>
        <w:rPr>
          <w:color w:val="000000"/>
          <w:spacing w:val="-4"/>
          <w:sz w:val="28"/>
          <w:szCs w:val="28"/>
        </w:rPr>
      </w:pPr>
      <w:r w:rsidRPr="00BD6F72">
        <w:rPr>
          <w:color w:val="000000"/>
          <w:spacing w:val="-4"/>
          <w:sz w:val="28"/>
          <w:szCs w:val="28"/>
        </w:rPr>
        <w:t xml:space="preserve">Bangkok, </w:t>
      </w:r>
      <w:r w:rsidR="00BD6F72" w:rsidRPr="00BD6F72">
        <w:rPr>
          <w:color w:val="000000"/>
          <w:spacing w:val="-4"/>
          <w:sz w:val="28"/>
          <w:szCs w:val="28"/>
        </w:rPr>
        <w:t>July 9</w:t>
      </w:r>
      <w:r w:rsidRPr="00BD6F72">
        <w:rPr>
          <w:color w:val="000000"/>
          <w:spacing w:val="-4"/>
          <w:sz w:val="28"/>
          <w:szCs w:val="28"/>
        </w:rPr>
        <w:t>, 20</w:t>
      </w:r>
      <w:r w:rsidR="00B51EC7" w:rsidRPr="00BD6F72">
        <w:rPr>
          <w:color w:val="000000"/>
          <w:spacing w:val="-4"/>
          <w:sz w:val="28"/>
          <w:szCs w:val="28"/>
        </w:rPr>
        <w:t>26</w:t>
      </w:r>
    </w:p>
    <w:sectPr w:rsidR="00F471B2" w:rsidRPr="009C5900" w:rsidSect="009C2920">
      <w:headerReference w:type="default" r:id="rId15"/>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7D20" w14:textId="77777777" w:rsidR="00B635E2" w:rsidRDefault="00B635E2">
      <w:r>
        <w:separator/>
      </w:r>
    </w:p>
  </w:endnote>
  <w:endnote w:type="continuationSeparator" w:id="0">
    <w:p w14:paraId="4830B7BB" w14:textId="77777777" w:rsidR="00B635E2" w:rsidRDefault="00B6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F471B2" w:rsidRDefault="008B322C">
    <w:pPr>
      <w:pStyle w:val="Footer"/>
      <w:jc w:val="right"/>
    </w:pPr>
    <w:r>
      <w:fldChar w:fldCharType="begin"/>
    </w:r>
    <w:r>
      <w:instrText xml:space="preserve"> PAGE   \* MERGEFORMAT </w:instrText>
    </w:r>
    <w:r>
      <w:fldChar w:fldCharType="separate"/>
    </w:r>
    <w:r w:rsidR="00344552">
      <w:rPr>
        <w:noProof/>
      </w:rPr>
      <w:t>4</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F471B2" w:rsidRDefault="008B322C">
    <w:pPr>
      <w:pStyle w:val="Footer"/>
      <w:jc w:val="right"/>
    </w:pPr>
    <w:r>
      <w:fldChar w:fldCharType="begin"/>
    </w:r>
    <w:r>
      <w:instrText xml:space="preserve"> PAGE   \* MERGEFORMAT </w:instrText>
    </w:r>
    <w:r>
      <w:fldChar w:fldCharType="separate"/>
    </w:r>
    <w:r w:rsidR="00344552">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D362" w14:textId="77777777" w:rsidR="00B635E2" w:rsidRDefault="00B635E2">
      <w:r>
        <w:separator/>
      </w:r>
    </w:p>
  </w:footnote>
  <w:footnote w:type="continuationSeparator" w:id="0">
    <w:p w14:paraId="7AADC1D9" w14:textId="77777777" w:rsidR="00B635E2" w:rsidRDefault="00B6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BB3F75"/>
    <w:multiLevelType w:val="hybridMultilevel"/>
    <w:tmpl w:val="DD6CF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5C380D"/>
    <w:multiLevelType w:val="hybridMultilevel"/>
    <w:tmpl w:val="DD6CF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0184446">
    <w:abstractNumId w:val="0"/>
  </w:num>
  <w:num w:numId="2" w16cid:durableId="1923174402">
    <w:abstractNumId w:val="3"/>
  </w:num>
  <w:num w:numId="3" w16cid:durableId="639194656">
    <w:abstractNumId w:val="2"/>
  </w:num>
  <w:num w:numId="4" w16cid:durableId="500314533">
    <w:abstractNumId w:val="4"/>
  </w:num>
  <w:num w:numId="5" w16cid:durableId="1657299921">
    <w:abstractNumId w:val="5"/>
  </w:num>
  <w:num w:numId="6" w16cid:durableId="1000697545">
    <w:abstractNumId w:val="6"/>
  </w:num>
  <w:num w:numId="7" w16cid:durableId="327094931">
    <w:abstractNumId w:val="7"/>
  </w:num>
  <w:num w:numId="8" w16cid:durableId="683169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012B8"/>
    <w:rsid w:val="0000523F"/>
    <w:rsid w:val="00013B52"/>
    <w:rsid w:val="00027E22"/>
    <w:rsid w:val="0003493E"/>
    <w:rsid w:val="000356CB"/>
    <w:rsid w:val="00044A46"/>
    <w:rsid w:val="00044DB9"/>
    <w:rsid w:val="00056F27"/>
    <w:rsid w:val="0006108D"/>
    <w:rsid w:val="000615C4"/>
    <w:rsid w:val="0006307C"/>
    <w:rsid w:val="000730F9"/>
    <w:rsid w:val="00087FFC"/>
    <w:rsid w:val="00096528"/>
    <w:rsid w:val="000A48AA"/>
    <w:rsid w:val="000A575E"/>
    <w:rsid w:val="000B3BEB"/>
    <w:rsid w:val="000C1CE0"/>
    <w:rsid w:val="000C5E79"/>
    <w:rsid w:val="000D4027"/>
    <w:rsid w:val="000D674E"/>
    <w:rsid w:val="000E4FAE"/>
    <w:rsid w:val="000E7B25"/>
    <w:rsid w:val="000F0E97"/>
    <w:rsid w:val="000F2DF6"/>
    <w:rsid w:val="000F576A"/>
    <w:rsid w:val="00111EAB"/>
    <w:rsid w:val="0011389A"/>
    <w:rsid w:val="00114CB2"/>
    <w:rsid w:val="00117104"/>
    <w:rsid w:val="00141AA8"/>
    <w:rsid w:val="00172F26"/>
    <w:rsid w:val="00175357"/>
    <w:rsid w:val="00175E39"/>
    <w:rsid w:val="001A722A"/>
    <w:rsid w:val="001B3B68"/>
    <w:rsid w:val="001C46AD"/>
    <w:rsid w:val="001C7A69"/>
    <w:rsid w:val="001D362D"/>
    <w:rsid w:val="001D3A7D"/>
    <w:rsid w:val="001E1790"/>
    <w:rsid w:val="001E2A4A"/>
    <w:rsid w:val="001E5214"/>
    <w:rsid w:val="001F2CB0"/>
    <w:rsid w:val="001F372D"/>
    <w:rsid w:val="001F6E05"/>
    <w:rsid w:val="00202C3E"/>
    <w:rsid w:val="00204028"/>
    <w:rsid w:val="00214765"/>
    <w:rsid w:val="002207F8"/>
    <w:rsid w:val="002239CD"/>
    <w:rsid w:val="00225B50"/>
    <w:rsid w:val="00231FDD"/>
    <w:rsid w:val="00233BE5"/>
    <w:rsid w:val="00242096"/>
    <w:rsid w:val="002538BC"/>
    <w:rsid w:val="002726DB"/>
    <w:rsid w:val="00273BFD"/>
    <w:rsid w:val="0027561E"/>
    <w:rsid w:val="00277D74"/>
    <w:rsid w:val="002910D0"/>
    <w:rsid w:val="002914F2"/>
    <w:rsid w:val="00291F00"/>
    <w:rsid w:val="00292477"/>
    <w:rsid w:val="00294942"/>
    <w:rsid w:val="00296C5B"/>
    <w:rsid w:val="00297E14"/>
    <w:rsid w:val="002B0BDA"/>
    <w:rsid w:val="002C18B2"/>
    <w:rsid w:val="002C6B92"/>
    <w:rsid w:val="002D267F"/>
    <w:rsid w:val="002E14F7"/>
    <w:rsid w:val="002F03C2"/>
    <w:rsid w:val="002F4DBC"/>
    <w:rsid w:val="003052BE"/>
    <w:rsid w:val="003114CB"/>
    <w:rsid w:val="00312FD6"/>
    <w:rsid w:val="0031459B"/>
    <w:rsid w:val="00317C24"/>
    <w:rsid w:val="00324A38"/>
    <w:rsid w:val="00330C9E"/>
    <w:rsid w:val="00330E4E"/>
    <w:rsid w:val="00334838"/>
    <w:rsid w:val="0034051B"/>
    <w:rsid w:val="00344552"/>
    <w:rsid w:val="00347F73"/>
    <w:rsid w:val="00350689"/>
    <w:rsid w:val="003506FC"/>
    <w:rsid w:val="00356818"/>
    <w:rsid w:val="00366BF8"/>
    <w:rsid w:val="00376A22"/>
    <w:rsid w:val="003818E2"/>
    <w:rsid w:val="00385C0D"/>
    <w:rsid w:val="00390A1B"/>
    <w:rsid w:val="003A0238"/>
    <w:rsid w:val="003A3DF8"/>
    <w:rsid w:val="003A7297"/>
    <w:rsid w:val="003B073C"/>
    <w:rsid w:val="003B0CF2"/>
    <w:rsid w:val="003B7A14"/>
    <w:rsid w:val="003C066F"/>
    <w:rsid w:val="003D2B62"/>
    <w:rsid w:val="003F3409"/>
    <w:rsid w:val="003F6A7A"/>
    <w:rsid w:val="003F72D1"/>
    <w:rsid w:val="004055E6"/>
    <w:rsid w:val="004068BE"/>
    <w:rsid w:val="00423967"/>
    <w:rsid w:val="00432357"/>
    <w:rsid w:val="004406FA"/>
    <w:rsid w:val="004431F8"/>
    <w:rsid w:val="00446BAE"/>
    <w:rsid w:val="00450DE6"/>
    <w:rsid w:val="00461CE6"/>
    <w:rsid w:val="00463D0F"/>
    <w:rsid w:val="0048709D"/>
    <w:rsid w:val="00496399"/>
    <w:rsid w:val="004A049B"/>
    <w:rsid w:val="004A1057"/>
    <w:rsid w:val="004A23CE"/>
    <w:rsid w:val="004A49E2"/>
    <w:rsid w:val="004A6044"/>
    <w:rsid w:val="004B30BE"/>
    <w:rsid w:val="004B66E0"/>
    <w:rsid w:val="004B7E6A"/>
    <w:rsid w:val="004C293E"/>
    <w:rsid w:val="004C623F"/>
    <w:rsid w:val="004C774B"/>
    <w:rsid w:val="004D2282"/>
    <w:rsid w:val="004D4E61"/>
    <w:rsid w:val="004E055C"/>
    <w:rsid w:val="004E4836"/>
    <w:rsid w:val="004F37CD"/>
    <w:rsid w:val="004F3801"/>
    <w:rsid w:val="00505866"/>
    <w:rsid w:val="00520169"/>
    <w:rsid w:val="00520C14"/>
    <w:rsid w:val="0052316D"/>
    <w:rsid w:val="00523292"/>
    <w:rsid w:val="0052485C"/>
    <w:rsid w:val="00524981"/>
    <w:rsid w:val="00526CB3"/>
    <w:rsid w:val="00532611"/>
    <w:rsid w:val="00532C5E"/>
    <w:rsid w:val="005336E2"/>
    <w:rsid w:val="005405B0"/>
    <w:rsid w:val="00542102"/>
    <w:rsid w:val="00546CB3"/>
    <w:rsid w:val="00550727"/>
    <w:rsid w:val="00550924"/>
    <w:rsid w:val="00554C60"/>
    <w:rsid w:val="00561903"/>
    <w:rsid w:val="00565F0F"/>
    <w:rsid w:val="00582A6E"/>
    <w:rsid w:val="00583AA9"/>
    <w:rsid w:val="00583E19"/>
    <w:rsid w:val="00592835"/>
    <w:rsid w:val="005943E5"/>
    <w:rsid w:val="00596CD1"/>
    <w:rsid w:val="00597310"/>
    <w:rsid w:val="005B3C93"/>
    <w:rsid w:val="005B4954"/>
    <w:rsid w:val="005B64D0"/>
    <w:rsid w:val="005C29AA"/>
    <w:rsid w:val="005C7EC6"/>
    <w:rsid w:val="005D0721"/>
    <w:rsid w:val="005E7BEE"/>
    <w:rsid w:val="005F123A"/>
    <w:rsid w:val="005F17C8"/>
    <w:rsid w:val="005F37DF"/>
    <w:rsid w:val="0060506B"/>
    <w:rsid w:val="00605CE1"/>
    <w:rsid w:val="0060704D"/>
    <w:rsid w:val="0061061D"/>
    <w:rsid w:val="00612A28"/>
    <w:rsid w:val="00612BDE"/>
    <w:rsid w:val="0062208D"/>
    <w:rsid w:val="00624865"/>
    <w:rsid w:val="00632C28"/>
    <w:rsid w:val="00635411"/>
    <w:rsid w:val="00643B9F"/>
    <w:rsid w:val="00652CD4"/>
    <w:rsid w:val="006567E8"/>
    <w:rsid w:val="00665ACA"/>
    <w:rsid w:val="00667D2A"/>
    <w:rsid w:val="00670DB5"/>
    <w:rsid w:val="006765AB"/>
    <w:rsid w:val="006814F3"/>
    <w:rsid w:val="006A32D4"/>
    <w:rsid w:val="006A39B4"/>
    <w:rsid w:val="006A759F"/>
    <w:rsid w:val="006B2ECE"/>
    <w:rsid w:val="006B4537"/>
    <w:rsid w:val="006C2198"/>
    <w:rsid w:val="006C2D62"/>
    <w:rsid w:val="006E3782"/>
    <w:rsid w:val="006F0AAF"/>
    <w:rsid w:val="006F69DA"/>
    <w:rsid w:val="00700E2E"/>
    <w:rsid w:val="00701BBB"/>
    <w:rsid w:val="00705A29"/>
    <w:rsid w:val="00705D2B"/>
    <w:rsid w:val="00723996"/>
    <w:rsid w:val="00740088"/>
    <w:rsid w:val="00740401"/>
    <w:rsid w:val="00740912"/>
    <w:rsid w:val="00744002"/>
    <w:rsid w:val="007471F8"/>
    <w:rsid w:val="0075042A"/>
    <w:rsid w:val="007514CB"/>
    <w:rsid w:val="00751634"/>
    <w:rsid w:val="00763A1A"/>
    <w:rsid w:val="0076502D"/>
    <w:rsid w:val="007705CF"/>
    <w:rsid w:val="0077646D"/>
    <w:rsid w:val="00776D69"/>
    <w:rsid w:val="0079446D"/>
    <w:rsid w:val="00795EF9"/>
    <w:rsid w:val="007A148F"/>
    <w:rsid w:val="007A2120"/>
    <w:rsid w:val="007A529A"/>
    <w:rsid w:val="007A687C"/>
    <w:rsid w:val="007A7597"/>
    <w:rsid w:val="007C1D82"/>
    <w:rsid w:val="007C5D66"/>
    <w:rsid w:val="007C63CD"/>
    <w:rsid w:val="007D12DE"/>
    <w:rsid w:val="007D6358"/>
    <w:rsid w:val="007E16A1"/>
    <w:rsid w:val="007E5BAA"/>
    <w:rsid w:val="007E5DF0"/>
    <w:rsid w:val="007F1A9B"/>
    <w:rsid w:val="007F2852"/>
    <w:rsid w:val="007F6AA0"/>
    <w:rsid w:val="00806552"/>
    <w:rsid w:val="00811A00"/>
    <w:rsid w:val="00820F03"/>
    <w:rsid w:val="00824E7F"/>
    <w:rsid w:val="00837B17"/>
    <w:rsid w:val="00842661"/>
    <w:rsid w:val="00846262"/>
    <w:rsid w:val="0086634D"/>
    <w:rsid w:val="0086707D"/>
    <w:rsid w:val="00874FD2"/>
    <w:rsid w:val="00880CA9"/>
    <w:rsid w:val="0088485A"/>
    <w:rsid w:val="0089023E"/>
    <w:rsid w:val="00892AE0"/>
    <w:rsid w:val="00896115"/>
    <w:rsid w:val="008965A2"/>
    <w:rsid w:val="008A242C"/>
    <w:rsid w:val="008A77EB"/>
    <w:rsid w:val="008B322C"/>
    <w:rsid w:val="008C12D0"/>
    <w:rsid w:val="008C558E"/>
    <w:rsid w:val="008C7365"/>
    <w:rsid w:val="008E2BB7"/>
    <w:rsid w:val="008E5B8E"/>
    <w:rsid w:val="008E616C"/>
    <w:rsid w:val="008F3DF4"/>
    <w:rsid w:val="008F5104"/>
    <w:rsid w:val="008F57AC"/>
    <w:rsid w:val="009047F6"/>
    <w:rsid w:val="0091136C"/>
    <w:rsid w:val="0092159A"/>
    <w:rsid w:val="00922620"/>
    <w:rsid w:val="009352CB"/>
    <w:rsid w:val="00935389"/>
    <w:rsid w:val="00954ACF"/>
    <w:rsid w:val="00956EDF"/>
    <w:rsid w:val="00964326"/>
    <w:rsid w:val="00967E10"/>
    <w:rsid w:val="009727BA"/>
    <w:rsid w:val="00987145"/>
    <w:rsid w:val="009913A8"/>
    <w:rsid w:val="00993C35"/>
    <w:rsid w:val="009970EF"/>
    <w:rsid w:val="009A06C3"/>
    <w:rsid w:val="009A56D6"/>
    <w:rsid w:val="009A6905"/>
    <w:rsid w:val="009B4378"/>
    <w:rsid w:val="009B5923"/>
    <w:rsid w:val="009B722E"/>
    <w:rsid w:val="009C2920"/>
    <w:rsid w:val="009C587B"/>
    <w:rsid w:val="009C5900"/>
    <w:rsid w:val="009C7DA8"/>
    <w:rsid w:val="009C7ECD"/>
    <w:rsid w:val="009D1854"/>
    <w:rsid w:val="009D5D28"/>
    <w:rsid w:val="009D5F7B"/>
    <w:rsid w:val="009E48FD"/>
    <w:rsid w:val="00A00373"/>
    <w:rsid w:val="00A0163B"/>
    <w:rsid w:val="00A0653D"/>
    <w:rsid w:val="00A110B5"/>
    <w:rsid w:val="00A27A01"/>
    <w:rsid w:val="00A32911"/>
    <w:rsid w:val="00A3430F"/>
    <w:rsid w:val="00A36E7C"/>
    <w:rsid w:val="00A43DD8"/>
    <w:rsid w:val="00A517CA"/>
    <w:rsid w:val="00A5364C"/>
    <w:rsid w:val="00A6384F"/>
    <w:rsid w:val="00A64509"/>
    <w:rsid w:val="00A7093E"/>
    <w:rsid w:val="00A81E93"/>
    <w:rsid w:val="00A82080"/>
    <w:rsid w:val="00A90898"/>
    <w:rsid w:val="00AA583E"/>
    <w:rsid w:val="00AB1060"/>
    <w:rsid w:val="00AB6866"/>
    <w:rsid w:val="00AC246E"/>
    <w:rsid w:val="00AC743B"/>
    <w:rsid w:val="00AE316C"/>
    <w:rsid w:val="00B04AFD"/>
    <w:rsid w:val="00B17987"/>
    <w:rsid w:val="00B23353"/>
    <w:rsid w:val="00B2420D"/>
    <w:rsid w:val="00B24FEB"/>
    <w:rsid w:val="00B26239"/>
    <w:rsid w:val="00B26CCB"/>
    <w:rsid w:val="00B33FF8"/>
    <w:rsid w:val="00B347B4"/>
    <w:rsid w:val="00B40A3C"/>
    <w:rsid w:val="00B42723"/>
    <w:rsid w:val="00B4500B"/>
    <w:rsid w:val="00B51EC7"/>
    <w:rsid w:val="00B5710D"/>
    <w:rsid w:val="00B62932"/>
    <w:rsid w:val="00B62E60"/>
    <w:rsid w:val="00B635E2"/>
    <w:rsid w:val="00B6457B"/>
    <w:rsid w:val="00B80177"/>
    <w:rsid w:val="00B83018"/>
    <w:rsid w:val="00B83372"/>
    <w:rsid w:val="00B859DB"/>
    <w:rsid w:val="00B93F2D"/>
    <w:rsid w:val="00B94A94"/>
    <w:rsid w:val="00B97328"/>
    <w:rsid w:val="00BA60A8"/>
    <w:rsid w:val="00BD1A96"/>
    <w:rsid w:val="00BD63D4"/>
    <w:rsid w:val="00BD6F72"/>
    <w:rsid w:val="00BE567F"/>
    <w:rsid w:val="00BE6047"/>
    <w:rsid w:val="00BE780C"/>
    <w:rsid w:val="00BF0FB6"/>
    <w:rsid w:val="00C11F89"/>
    <w:rsid w:val="00C22178"/>
    <w:rsid w:val="00C310FC"/>
    <w:rsid w:val="00C44919"/>
    <w:rsid w:val="00C458F9"/>
    <w:rsid w:val="00C521B6"/>
    <w:rsid w:val="00C54AB3"/>
    <w:rsid w:val="00C606F1"/>
    <w:rsid w:val="00C620DB"/>
    <w:rsid w:val="00C65F8C"/>
    <w:rsid w:val="00C66392"/>
    <w:rsid w:val="00C66B89"/>
    <w:rsid w:val="00C66ED4"/>
    <w:rsid w:val="00C769C0"/>
    <w:rsid w:val="00C83EDD"/>
    <w:rsid w:val="00C92D74"/>
    <w:rsid w:val="00CA548D"/>
    <w:rsid w:val="00CC24D4"/>
    <w:rsid w:val="00CD245F"/>
    <w:rsid w:val="00CE130B"/>
    <w:rsid w:val="00CF04C2"/>
    <w:rsid w:val="00CF0C0C"/>
    <w:rsid w:val="00CF64E0"/>
    <w:rsid w:val="00D03688"/>
    <w:rsid w:val="00D03A03"/>
    <w:rsid w:val="00D049DE"/>
    <w:rsid w:val="00D17212"/>
    <w:rsid w:val="00D31FB5"/>
    <w:rsid w:val="00D355D0"/>
    <w:rsid w:val="00D3701D"/>
    <w:rsid w:val="00D407CE"/>
    <w:rsid w:val="00D42626"/>
    <w:rsid w:val="00D46F5B"/>
    <w:rsid w:val="00D5136B"/>
    <w:rsid w:val="00D55D6C"/>
    <w:rsid w:val="00D675F9"/>
    <w:rsid w:val="00D67A83"/>
    <w:rsid w:val="00D7269E"/>
    <w:rsid w:val="00D82987"/>
    <w:rsid w:val="00D86A26"/>
    <w:rsid w:val="00D870C8"/>
    <w:rsid w:val="00D91D08"/>
    <w:rsid w:val="00D92678"/>
    <w:rsid w:val="00D9547E"/>
    <w:rsid w:val="00D96496"/>
    <w:rsid w:val="00DA0EC8"/>
    <w:rsid w:val="00DA3BE7"/>
    <w:rsid w:val="00DA5ABB"/>
    <w:rsid w:val="00DB0B7F"/>
    <w:rsid w:val="00DB144C"/>
    <w:rsid w:val="00DB2126"/>
    <w:rsid w:val="00DB4B50"/>
    <w:rsid w:val="00DB5F6F"/>
    <w:rsid w:val="00DB74BD"/>
    <w:rsid w:val="00DC27B0"/>
    <w:rsid w:val="00DC5DA3"/>
    <w:rsid w:val="00DC7C8E"/>
    <w:rsid w:val="00DD6178"/>
    <w:rsid w:val="00DD7D0B"/>
    <w:rsid w:val="00DE0E19"/>
    <w:rsid w:val="00DE13F1"/>
    <w:rsid w:val="00DE79F0"/>
    <w:rsid w:val="00DF396C"/>
    <w:rsid w:val="00DF5602"/>
    <w:rsid w:val="00DF688A"/>
    <w:rsid w:val="00DF7FB6"/>
    <w:rsid w:val="00E026A2"/>
    <w:rsid w:val="00E068F0"/>
    <w:rsid w:val="00E12B09"/>
    <w:rsid w:val="00E14462"/>
    <w:rsid w:val="00E211A9"/>
    <w:rsid w:val="00E21BF0"/>
    <w:rsid w:val="00E2446F"/>
    <w:rsid w:val="00E30936"/>
    <w:rsid w:val="00E3220F"/>
    <w:rsid w:val="00E33BCC"/>
    <w:rsid w:val="00E377C1"/>
    <w:rsid w:val="00E404CA"/>
    <w:rsid w:val="00E407A7"/>
    <w:rsid w:val="00E46A26"/>
    <w:rsid w:val="00E538BE"/>
    <w:rsid w:val="00E57E19"/>
    <w:rsid w:val="00E656A6"/>
    <w:rsid w:val="00E72D9F"/>
    <w:rsid w:val="00E7536F"/>
    <w:rsid w:val="00E826DF"/>
    <w:rsid w:val="00E82C70"/>
    <w:rsid w:val="00E86700"/>
    <w:rsid w:val="00E936BC"/>
    <w:rsid w:val="00E97B3E"/>
    <w:rsid w:val="00EA67C0"/>
    <w:rsid w:val="00EB316F"/>
    <w:rsid w:val="00EC3917"/>
    <w:rsid w:val="00EC5321"/>
    <w:rsid w:val="00ED080C"/>
    <w:rsid w:val="00ED121C"/>
    <w:rsid w:val="00ED3A68"/>
    <w:rsid w:val="00ED4BE1"/>
    <w:rsid w:val="00ED5E7F"/>
    <w:rsid w:val="00EE4F04"/>
    <w:rsid w:val="00EF1F5D"/>
    <w:rsid w:val="00F13196"/>
    <w:rsid w:val="00F17B6E"/>
    <w:rsid w:val="00F23CA7"/>
    <w:rsid w:val="00F34208"/>
    <w:rsid w:val="00F35565"/>
    <w:rsid w:val="00F428E2"/>
    <w:rsid w:val="00F43AAE"/>
    <w:rsid w:val="00F471B2"/>
    <w:rsid w:val="00F57121"/>
    <w:rsid w:val="00F60A00"/>
    <w:rsid w:val="00F6236C"/>
    <w:rsid w:val="00F62BE0"/>
    <w:rsid w:val="00F71A97"/>
    <w:rsid w:val="00F74121"/>
    <w:rsid w:val="00F801BB"/>
    <w:rsid w:val="00F860B6"/>
    <w:rsid w:val="00F86207"/>
    <w:rsid w:val="00F92AEA"/>
    <w:rsid w:val="00F946ED"/>
    <w:rsid w:val="00F96250"/>
    <w:rsid w:val="00F96789"/>
    <w:rsid w:val="00FA1879"/>
    <w:rsid w:val="00FA361C"/>
    <w:rsid w:val="00FA3A7C"/>
    <w:rsid w:val="00FA407E"/>
    <w:rsid w:val="00FA5917"/>
    <w:rsid w:val="00FB0B99"/>
    <w:rsid w:val="00FB3BF5"/>
    <w:rsid w:val="00FC0378"/>
    <w:rsid w:val="00FD007A"/>
    <w:rsid w:val="00FD1223"/>
    <w:rsid w:val="00FD1FAB"/>
    <w:rsid w:val="00FD4EEA"/>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aliases w:val="EY Interstate"/>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B51EC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3B4B4-8E2D-43AD-B27F-C5AB4558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ANS-018</cp:lastModifiedBy>
  <cp:revision>85</cp:revision>
  <cp:lastPrinted>2026-07-09T08:00:00Z</cp:lastPrinted>
  <dcterms:created xsi:type="dcterms:W3CDTF">2025-10-03T08:31:00Z</dcterms:created>
  <dcterms:modified xsi:type="dcterms:W3CDTF">2026-07-09T08:01:00Z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