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4DCE4" w14:textId="2F754D16" w:rsidR="00DB308D" w:rsidRPr="00C00DA9" w:rsidRDefault="00DB308D" w:rsidP="004C2111">
      <w:pPr>
        <w:pStyle w:val="Reference"/>
        <w:rPr>
          <w:rFonts w:cstheme="minorBidi"/>
          <w:cs/>
          <w:lang w:val="en-US" w:bidi="th-TH"/>
        </w:rPr>
      </w:pPr>
    </w:p>
    <w:p w14:paraId="04AB080C" w14:textId="77777777" w:rsidR="00DD1E47" w:rsidRDefault="00DD1E47" w:rsidP="006771E8">
      <w:pPr>
        <w:pStyle w:val="BodyText"/>
      </w:pPr>
    </w:p>
    <w:p w14:paraId="30607972" w14:textId="77777777" w:rsidR="00D15EA5" w:rsidRDefault="006F1B19" w:rsidP="00D15EA5">
      <w:pPr>
        <w:pStyle w:val="BodyText"/>
      </w:pPr>
      <w:r w:rsidRPr="004A0DFE">
        <w:br w:type="textWrapping" w:clear="all"/>
      </w:r>
    </w:p>
    <w:p w14:paraId="001FD007" w14:textId="77777777" w:rsidR="00D15EA5" w:rsidRDefault="00D15EA5" w:rsidP="00D15EA5">
      <w:pPr>
        <w:pStyle w:val="BodyText"/>
      </w:pPr>
    </w:p>
    <w:p w14:paraId="5F7C4634" w14:textId="77777777" w:rsidR="00D15EA5" w:rsidRPr="00D15EA5" w:rsidRDefault="00D15EA5" w:rsidP="00D15EA5">
      <w:pPr>
        <w:pStyle w:val="BodyText"/>
        <w:rPr>
          <w:rFonts w:cstheme="minorBidi"/>
          <w:cs/>
          <w:lang w:bidi="th-TH"/>
        </w:rPr>
      </w:pPr>
    </w:p>
    <w:p w14:paraId="3D9E126F" w14:textId="77777777" w:rsidR="009719D5" w:rsidRPr="00B04C55" w:rsidRDefault="009719D5" w:rsidP="00033DD2">
      <w:pPr>
        <w:spacing w:after="0" w:line="360" w:lineRule="auto"/>
        <w:rPr>
          <w:rFonts w:ascii="Arial" w:hAnsi="Arial"/>
          <w:sz w:val="16"/>
          <w:szCs w:val="16"/>
        </w:rPr>
      </w:pPr>
    </w:p>
    <w:p w14:paraId="7989D240" w14:textId="77777777" w:rsidR="00D35E12" w:rsidRDefault="00D35E12" w:rsidP="003A0DF7">
      <w:pPr>
        <w:spacing w:after="0" w:line="360" w:lineRule="auto"/>
        <w:rPr>
          <w:rFonts w:ascii="Arial" w:hAnsi="Arial"/>
          <w:b/>
          <w:bCs/>
          <w:sz w:val="19"/>
          <w:szCs w:val="19"/>
        </w:rPr>
      </w:pPr>
    </w:p>
    <w:p w14:paraId="51598590" w14:textId="77777777" w:rsidR="00D35E12" w:rsidRDefault="00D35E12" w:rsidP="00D35E12">
      <w:pPr>
        <w:spacing w:after="0" w:line="360" w:lineRule="auto"/>
        <w:rPr>
          <w:rFonts w:ascii="Arial" w:hAnsi="Arial"/>
          <w:b/>
          <w:bCs/>
          <w:sz w:val="19"/>
          <w:szCs w:val="19"/>
        </w:rPr>
      </w:pPr>
    </w:p>
    <w:p w14:paraId="64A4DB86" w14:textId="58C91AA5" w:rsidR="006932D7" w:rsidRPr="00656078" w:rsidRDefault="006932D7" w:rsidP="00656078">
      <w:pPr>
        <w:spacing w:after="0" w:line="360" w:lineRule="auto"/>
        <w:rPr>
          <w:rFonts w:ascii="Arial" w:hAnsi="Arial"/>
          <w:b/>
          <w:bCs/>
          <w:sz w:val="19"/>
          <w:szCs w:val="19"/>
          <w:lang w:val="en-US"/>
        </w:rPr>
      </w:pPr>
      <w:r w:rsidRPr="00656078">
        <w:rPr>
          <w:rFonts w:ascii="Arial" w:hAnsi="Arial"/>
          <w:b/>
          <w:bCs/>
          <w:sz w:val="19"/>
          <w:szCs w:val="19"/>
        </w:rPr>
        <w:t xml:space="preserve">To </w:t>
      </w:r>
      <w:r w:rsidR="009F4C7B" w:rsidRPr="00656078">
        <w:rPr>
          <w:rFonts w:ascii="Arial" w:hAnsi="Arial"/>
          <w:b/>
          <w:bCs/>
          <w:sz w:val="19"/>
          <w:szCs w:val="19"/>
        </w:rPr>
        <w:t xml:space="preserve">the </w:t>
      </w:r>
      <w:r w:rsidR="00CF3776" w:rsidRPr="00656078">
        <w:rPr>
          <w:rFonts w:ascii="Arial" w:hAnsi="Arial"/>
          <w:b/>
          <w:bCs/>
          <w:sz w:val="19"/>
          <w:szCs w:val="19"/>
          <w:lang w:bidi="th-TH"/>
        </w:rPr>
        <w:t>Shareholders</w:t>
      </w:r>
      <w:r w:rsidR="009F4C7B" w:rsidRPr="00656078">
        <w:rPr>
          <w:rFonts w:ascii="Arial" w:hAnsi="Arial"/>
          <w:b/>
          <w:bCs/>
          <w:sz w:val="19"/>
          <w:szCs w:val="19"/>
        </w:rPr>
        <w:t xml:space="preserve"> </w:t>
      </w:r>
      <w:r w:rsidR="009534C6" w:rsidRPr="00656078">
        <w:rPr>
          <w:rFonts w:ascii="Arial" w:hAnsi="Arial" w:cs="Browallia New"/>
          <w:b/>
          <w:bCs/>
          <w:sz w:val="19"/>
          <w:szCs w:val="24"/>
          <w:lang w:val="en-US" w:bidi="th-TH"/>
        </w:rPr>
        <w:t xml:space="preserve">and the </w:t>
      </w:r>
      <w:r w:rsidR="009F4C7B" w:rsidRPr="00656078">
        <w:rPr>
          <w:rFonts w:ascii="Arial" w:hAnsi="Arial"/>
          <w:b/>
          <w:bCs/>
          <w:sz w:val="19"/>
          <w:szCs w:val="19"/>
          <w:lang w:val="en-US" w:bidi="th-TH"/>
        </w:rPr>
        <w:t>Board of Director</w:t>
      </w:r>
      <w:r w:rsidR="00380FA7" w:rsidRPr="00656078">
        <w:rPr>
          <w:rFonts w:ascii="Arial" w:hAnsi="Arial"/>
          <w:b/>
          <w:bCs/>
          <w:sz w:val="19"/>
          <w:szCs w:val="19"/>
          <w:lang w:val="en-US" w:bidi="th-TH"/>
        </w:rPr>
        <w:t>s</w:t>
      </w:r>
      <w:r w:rsidR="00CF3776" w:rsidRPr="00656078">
        <w:rPr>
          <w:rFonts w:ascii="Arial" w:hAnsi="Arial"/>
          <w:b/>
          <w:bCs/>
          <w:sz w:val="19"/>
          <w:szCs w:val="19"/>
          <w:lang w:bidi="th-TH"/>
        </w:rPr>
        <w:t xml:space="preserve"> </w:t>
      </w:r>
      <w:r w:rsidRPr="00656078">
        <w:rPr>
          <w:rFonts w:ascii="Arial" w:hAnsi="Arial"/>
          <w:b/>
          <w:bCs/>
          <w:sz w:val="19"/>
          <w:szCs w:val="19"/>
        </w:rPr>
        <w:t xml:space="preserve">of </w:t>
      </w:r>
      <w:r w:rsidR="00656078" w:rsidRPr="00656078">
        <w:rPr>
          <w:rFonts w:ascii="Arial" w:hAnsi="Arial"/>
          <w:b/>
          <w:bCs/>
          <w:sz w:val="19"/>
          <w:szCs w:val="19"/>
          <w:lang w:val="en-US"/>
        </w:rPr>
        <w:t>RSXYZ Public Company Limited</w:t>
      </w:r>
    </w:p>
    <w:p w14:paraId="0E14A70E" w14:textId="77777777" w:rsidR="00656078" w:rsidRPr="0055164B" w:rsidRDefault="00656078" w:rsidP="001F4D13">
      <w:pPr>
        <w:spacing w:line="360" w:lineRule="auto"/>
        <w:rPr>
          <w:rFonts w:ascii="Arial" w:hAnsi="Arial"/>
          <w:sz w:val="19"/>
          <w:szCs w:val="19"/>
          <w:rtl/>
          <w:cs/>
        </w:rPr>
      </w:pPr>
    </w:p>
    <w:p w14:paraId="2C50D065" w14:textId="6F9BFE4D" w:rsidR="009F4C7B" w:rsidRPr="00FE6083" w:rsidRDefault="00963958" w:rsidP="00F17584">
      <w:pPr>
        <w:pStyle w:val="BodyText"/>
        <w:spacing w:after="0" w:line="360" w:lineRule="auto"/>
        <w:jc w:val="thaiDistribute"/>
        <w:rPr>
          <w:rFonts w:ascii="Arial" w:hAnsi="Arial"/>
          <w:sz w:val="19"/>
          <w:szCs w:val="19"/>
        </w:rPr>
      </w:pPr>
      <w:bookmarkStart w:id="1" w:name="_Hlk186221416"/>
      <w:bookmarkStart w:id="2" w:name="_Hlk187150995"/>
      <w:r w:rsidRPr="004D2CC3">
        <w:rPr>
          <w:rFonts w:ascii="Arial" w:hAnsi="Arial"/>
          <w:sz w:val="19"/>
          <w:szCs w:val="19"/>
        </w:rPr>
        <w:t>I have reviewed the interim consolidated and separate financial information of</w:t>
      </w:r>
      <w:r w:rsidRPr="004D2CC3">
        <w:rPr>
          <w:rFonts w:ascii="Arial" w:hAnsi="Arial" w:cstheme="minorBidi" w:hint="cs"/>
          <w:sz w:val="19"/>
          <w:szCs w:val="19"/>
          <w:cs/>
          <w:lang w:bidi="th-TH"/>
        </w:rPr>
        <w:t xml:space="preserve"> </w:t>
      </w:r>
      <w:r w:rsidR="00656078" w:rsidRPr="00656078">
        <w:rPr>
          <w:rFonts w:ascii="Arial" w:hAnsi="Arial" w:cstheme="minorBidi"/>
          <w:sz w:val="19"/>
          <w:szCs w:val="19"/>
          <w:lang w:val="en-US" w:bidi="th-TH"/>
        </w:rPr>
        <w:t>RSXYZ Public Company Limited</w:t>
      </w:r>
      <w:bookmarkEnd w:id="1"/>
      <w:bookmarkEnd w:id="2"/>
      <w:r w:rsidRPr="004D2CC3">
        <w:rPr>
          <w:rFonts w:ascii="Arial" w:hAnsi="Arial"/>
          <w:sz w:val="19"/>
          <w:szCs w:val="19"/>
        </w:rPr>
        <w:t xml:space="preserve"> </w:t>
      </w:r>
      <w:r>
        <w:rPr>
          <w:rFonts w:ascii="Arial" w:hAnsi="Arial"/>
          <w:sz w:val="19"/>
          <w:szCs w:val="19"/>
        </w:rPr>
        <w:t xml:space="preserve">(the Company) </w:t>
      </w:r>
      <w:r w:rsidRPr="004D2CC3">
        <w:rPr>
          <w:rFonts w:ascii="Arial" w:hAnsi="Arial"/>
          <w:sz w:val="19"/>
          <w:szCs w:val="19"/>
        </w:rPr>
        <w:t>and</w:t>
      </w:r>
      <w:r w:rsidRPr="004D2CC3">
        <w:rPr>
          <w:rFonts w:ascii="Arial" w:hAnsi="Arial" w:cstheme="minorBidi" w:hint="cs"/>
          <w:sz w:val="19"/>
          <w:szCs w:val="24"/>
          <w:cs/>
          <w:lang w:bidi="th-TH"/>
        </w:rPr>
        <w:t xml:space="preserve"> </w:t>
      </w:r>
      <w:r w:rsidRPr="004D2CC3">
        <w:rPr>
          <w:rFonts w:ascii="Arial" w:hAnsi="Arial" w:cstheme="minorBidi"/>
          <w:sz w:val="19"/>
          <w:szCs w:val="24"/>
          <w:lang w:val="en-US" w:bidi="th-TH"/>
        </w:rPr>
        <w:t>its</w:t>
      </w:r>
      <w:r w:rsidRPr="004D2CC3">
        <w:rPr>
          <w:rFonts w:ascii="Arial" w:hAnsi="Arial"/>
          <w:sz w:val="19"/>
          <w:szCs w:val="19"/>
        </w:rPr>
        <w:t xml:space="preserve"> subsidiaries</w:t>
      </w:r>
      <w:r w:rsidRPr="004D2CC3">
        <w:rPr>
          <w:rFonts w:ascii="Arial" w:hAnsi="Arial" w:cstheme="minorBidi" w:hint="cs"/>
          <w:sz w:val="19"/>
          <w:szCs w:val="24"/>
          <w:cs/>
          <w:lang w:bidi="th-TH"/>
        </w:rPr>
        <w:t xml:space="preserve"> </w:t>
      </w:r>
      <w:r w:rsidRPr="004D2CC3">
        <w:rPr>
          <w:rFonts w:ascii="Arial" w:hAnsi="Arial"/>
          <w:sz w:val="19"/>
          <w:szCs w:val="19"/>
        </w:rPr>
        <w:t>(</w:t>
      </w:r>
      <w:r>
        <w:rPr>
          <w:rFonts w:ascii="Arial" w:hAnsi="Arial"/>
          <w:sz w:val="19"/>
          <w:szCs w:val="19"/>
        </w:rPr>
        <w:t>t</w:t>
      </w:r>
      <w:r w:rsidRPr="004D2CC3">
        <w:rPr>
          <w:rFonts w:ascii="Arial" w:hAnsi="Arial"/>
          <w:sz w:val="19"/>
          <w:szCs w:val="19"/>
        </w:rPr>
        <w:t>he Group). These comprise the consolidated and separate statements of financial position as</w:t>
      </w:r>
      <w:r w:rsidR="00054E59">
        <w:rPr>
          <w:rFonts w:ascii="Arial" w:hAnsi="Arial"/>
          <w:sz w:val="19"/>
          <w:szCs w:val="19"/>
        </w:rPr>
        <w:t xml:space="preserve"> </w:t>
      </w:r>
      <w:proofErr w:type="gramStart"/>
      <w:r w:rsidR="00054E59">
        <w:rPr>
          <w:rFonts w:ascii="Arial" w:hAnsi="Arial"/>
          <w:sz w:val="19"/>
          <w:szCs w:val="19"/>
        </w:rPr>
        <w:t>at</w:t>
      </w:r>
      <w:proofErr w:type="gramEnd"/>
      <w:r w:rsidR="00054E59">
        <w:rPr>
          <w:rFonts w:ascii="Arial" w:hAnsi="Arial"/>
          <w:sz w:val="19"/>
          <w:szCs w:val="19"/>
        </w:rPr>
        <w:t xml:space="preserve"> </w:t>
      </w:r>
      <w:r w:rsidR="00A0066A">
        <w:rPr>
          <w:rFonts w:ascii="Arial" w:hAnsi="Arial"/>
          <w:sz w:val="19"/>
          <w:szCs w:val="19"/>
        </w:rPr>
        <w:t>30 June</w:t>
      </w:r>
      <w:r w:rsidR="00054E59">
        <w:rPr>
          <w:rFonts w:ascii="Arial" w:hAnsi="Arial"/>
          <w:sz w:val="19"/>
          <w:szCs w:val="19"/>
        </w:rPr>
        <w:t xml:space="preserve"> 2026</w:t>
      </w:r>
      <w:r w:rsidR="00A0276B">
        <w:rPr>
          <w:rFonts w:ascii="Arial" w:hAnsi="Arial"/>
          <w:sz w:val="19"/>
          <w:szCs w:val="19"/>
        </w:rPr>
        <w:t>,</w:t>
      </w:r>
      <w:r w:rsidRPr="004D2CC3">
        <w:rPr>
          <w:rFonts w:ascii="Arial" w:hAnsi="Arial"/>
          <w:sz w:val="19"/>
          <w:szCs w:val="19"/>
        </w:rPr>
        <w:t xml:space="preserve"> </w:t>
      </w:r>
      <w:r w:rsidR="00E66DE1" w:rsidRPr="00E66DE1">
        <w:rPr>
          <w:rFonts w:ascii="Arial" w:hAnsi="Arial"/>
          <w:sz w:val="19"/>
          <w:szCs w:val="19"/>
        </w:rPr>
        <w:t>the consolidated and separate statements of comprehensive incom</w:t>
      </w:r>
      <w:r w:rsidR="00E66DE1">
        <w:rPr>
          <w:rFonts w:ascii="Arial" w:hAnsi="Arial"/>
          <w:sz w:val="19"/>
          <w:szCs w:val="19"/>
        </w:rPr>
        <w:t>e</w:t>
      </w:r>
      <w:r w:rsidR="00355567">
        <w:rPr>
          <w:rFonts w:ascii="Arial" w:hAnsi="Arial"/>
          <w:sz w:val="19"/>
          <w:szCs w:val="19"/>
        </w:rPr>
        <w:t xml:space="preserve"> for the three-month and six-month</w:t>
      </w:r>
      <w:r w:rsidR="001F4D13">
        <w:rPr>
          <w:rFonts w:ascii="Arial" w:hAnsi="Arial"/>
          <w:sz w:val="19"/>
          <w:szCs w:val="19"/>
        </w:rPr>
        <w:t xml:space="preserve"> period</w:t>
      </w:r>
      <w:r w:rsidR="00E85557">
        <w:rPr>
          <w:rFonts w:ascii="Arial" w:hAnsi="Arial" w:cs="Browallia New"/>
          <w:sz w:val="19"/>
          <w:szCs w:val="24"/>
          <w:lang w:val="en-US" w:bidi="th-TH"/>
        </w:rPr>
        <w:t>s</w:t>
      </w:r>
      <w:r w:rsidR="001F4D13">
        <w:rPr>
          <w:rFonts w:ascii="Arial" w:hAnsi="Arial"/>
          <w:sz w:val="19"/>
          <w:szCs w:val="19"/>
        </w:rPr>
        <w:t xml:space="preserve"> </w:t>
      </w:r>
      <w:r w:rsidR="00CF0201">
        <w:rPr>
          <w:rFonts w:ascii="Arial" w:hAnsi="Arial"/>
          <w:sz w:val="19"/>
          <w:szCs w:val="19"/>
        </w:rPr>
        <w:t>th</w:t>
      </w:r>
      <w:r w:rsidR="009B2584">
        <w:rPr>
          <w:rFonts w:ascii="Arial" w:hAnsi="Arial"/>
          <w:sz w:val="19"/>
          <w:szCs w:val="19"/>
        </w:rPr>
        <w:t xml:space="preserve">en </w:t>
      </w:r>
      <w:r w:rsidR="001F4D13">
        <w:rPr>
          <w:rFonts w:ascii="Arial" w:hAnsi="Arial"/>
          <w:sz w:val="19"/>
          <w:szCs w:val="19"/>
        </w:rPr>
        <w:t>ended</w:t>
      </w:r>
      <w:r w:rsidR="00E66DE1">
        <w:rPr>
          <w:rFonts w:ascii="Arial" w:hAnsi="Arial"/>
          <w:sz w:val="19"/>
          <w:szCs w:val="19"/>
        </w:rPr>
        <w:t xml:space="preserve">, </w:t>
      </w:r>
      <w:r w:rsidR="00B16278">
        <w:rPr>
          <w:rFonts w:ascii="Arial" w:hAnsi="Arial"/>
          <w:sz w:val="19"/>
          <w:szCs w:val="19"/>
        </w:rPr>
        <w:t xml:space="preserve">the </w:t>
      </w:r>
      <w:r w:rsidR="00254164">
        <w:rPr>
          <w:rFonts w:ascii="Arial" w:hAnsi="Arial"/>
          <w:sz w:val="19"/>
          <w:szCs w:val="19"/>
        </w:rPr>
        <w:t>rela</w:t>
      </w:r>
      <w:r w:rsidR="00A620CB">
        <w:rPr>
          <w:rFonts w:ascii="Arial" w:hAnsi="Arial"/>
          <w:sz w:val="19"/>
          <w:szCs w:val="19"/>
        </w:rPr>
        <w:t xml:space="preserve">ted </w:t>
      </w:r>
      <w:r w:rsidR="00B16278">
        <w:rPr>
          <w:rFonts w:ascii="Arial" w:hAnsi="Arial"/>
          <w:sz w:val="19"/>
          <w:szCs w:val="19"/>
        </w:rPr>
        <w:t>consolidated</w:t>
      </w:r>
      <w:r w:rsidR="00D93DC5">
        <w:rPr>
          <w:rFonts w:ascii="Arial" w:hAnsi="Arial"/>
          <w:sz w:val="19"/>
          <w:szCs w:val="19"/>
        </w:rPr>
        <w:t xml:space="preserve"> and separate statement</w:t>
      </w:r>
      <w:r w:rsidR="00D766BE">
        <w:rPr>
          <w:rFonts w:ascii="Arial" w:hAnsi="Arial"/>
          <w:sz w:val="19"/>
          <w:szCs w:val="19"/>
        </w:rPr>
        <w:t>s</w:t>
      </w:r>
      <w:r w:rsidR="00D93DC5">
        <w:rPr>
          <w:rFonts w:ascii="Arial" w:hAnsi="Arial"/>
          <w:sz w:val="19"/>
          <w:szCs w:val="19"/>
        </w:rPr>
        <w:t xml:space="preserve"> of</w:t>
      </w:r>
      <w:r w:rsidRPr="004D2CC3">
        <w:rPr>
          <w:rFonts w:ascii="Arial" w:hAnsi="Arial"/>
          <w:sz w:val="19"/>
          <w:szCs w:val="19"/>
        </w:rPr>
        <w:t xml:space="preserve"> changes in</w:t>
      </w:r>
      <w:r>
        <w:rPr>
          <w:rFonts w:ascii="Arial" w:hAnsi="Arial"/>
          <w:sz w:val="19"/>
          <w:szCs w:val="19"/>
        </w:rPr>
        <w:t xml:space="preserve"> </w:t>
      </w:r>
      <w:r w:rsidRPr="004D2CC3">
        <w:rPr>
          <w:rFonts w:ascii="Arial" w:hAnsi="Arial"/>
          <w:sz w:val="19"/>
          <w:szCs w:val="19"/>
          <w:lang w:val="en-US"/>
        </w:rPr>
        <w:t xml:space="preserve">shareholders’ </w:t>
      </w:r>
      <w:r w:rsidRPr="004D2CC3">
        <w:rPr>
          <w:rFonts w:ascii="Arial" w:hAnsi="Arial"/>
          <w:sz w:val="19"/>
          <w:szCs w:val="19"/>
        </w:rPr>
        <w:t xml:space="preserve">equity and cash flows </w:t>
      </w:r>
      <w:r w:rsidRPr="00C804CB">
        <w:rPr>
          <w:rFonts w:ascii="Arial" w:hAnsi="Arial"/>
          <w:sz w:val="19"/>
          <w:szCs w:val="19"/>
        </w:rPr>
        <w:t xml:space="preserve">for the </w:t>
      </w:r>
      <w:r w:rsidR="001F4D13">
        <w:rPr>
          <w:rFonts w:ascii="Arial" w:hAnsi="Arial"/>
          <w:sz w:val="19"/>
          <w:szCs w:val="19"/>
        </w:rPr>
        <w:t>six</w:t>
      </w:r>
      <w:r w:rsidRPr="00C804CB">
        <w:rPr>
          <w:rFonts w:ascii="Arial" w:hAnsi="Arial"/>
          <w:sz w:val="19"/>
          <w:szCs w:val="19"/>
        </w:rPr>
        <w:t xml:space="preserve">-month </w:t>
      </w:r>
      <w:r w:rsidRPr="00655FFC">
        <w:rPr>
          <w:rFonts w:ascii="Arial" w:hAnsi="Arial"/>
          <w:sz w:val="19"/>
          <w:szCs w:val="19"/>
        </w:rPr>
        <w:t>period then ended</w:t>
      </w:r>
      <w:r w:rsidRPr="004D2CC3">
        <w:rPr>
          <w:rFonts w:ascii="Arial" w:hAnsi="Arial"/>
          <w:sz w:val="19"/>
          <w:szCs w:val="19"/>
        </w:rPr>
        <w:t>,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52C83F5F" w14:textId="77777777" w:rsidR="004C5E6C" w:rsidRPr="009813D8" w:rsidRDefault="004C5E6C" w:rsidP="002362D8">
      <w:pPr>
        <w:spacing w:line="360" w:lineRule="auto"/>
        <w:jc w:val="thaiDistribute"/>
        <w:rPr>
          <w:rFonts w:ascii="Arial" w:hAnsi="Arial"/>
          <w:sz w:val="20"/>
        </w:rPr>
      </w:pPr>
    </w:p>
    <w:p w14:paraId="76DC61E1" w14:textId="77777777" w:rsidR="009F4C7B" w:rsidRPr="00656078" w:rsidRDefault="009F4C7B" w:rsidP="00D35E12">
      <w:pPr>
        <w:spacing w:after="0" w:line="360" w:lineRule="auto"/>
        <w:jc w:val="thaiDistribute"/>
        <w:rPr>
          <w:rFonts w:ascii="Arial" w:hAnsi="Arial"/>
          <w:b/>
          <w:bCs/>
          <w:sz w:val="19"/>
          <w:szCs w:val="19"/>
        </w:rPr>
      </w:pPr>
      <w:r w:rsidRPr="00656078">
        <w:rPr>
          <w:rFonts w:ascii="Arial" w:hAnsi="Arial"/>
          <w:b/>
          <w:bCs/>
          <w:sz w:val="19"/>
          <w:szCs w:val="19"/>
        </w:rPr>
        <w:t>Scope of Review</w:t>
      </w:r>
    </w:p>
    <w:p w14:paraId="7FA3F2D7" w14:textId="77777777" w:rsidR="009F4C7B" w:rsidRPr="009813D8" w:rsidRDefault="009F4C7B" w:rsidP="00D35E12">
      <w:pPr>
        <w:spacing w:after="0" w:line="360" w:lineRule="auto"/>
        <w:jc w:val="thaiDistribute"/>
        <w:rPr>
          <w:rFonts w:ascii="Arial" w:hAnsi="Arial"/>
          <w:sz w:val="20"/>
        </w:rPr>
      </w:pPr>
    </w:p>
    <w:p w14:paraId="3BA901BF" w14:textId="77777777" w:rsidR="00963958" w:rsidRPr="004D2CC3" w:rsidRDefault="00963958" w:rsidP="00963958">
      <w:pPr>
        <w:pStyle w:val="BodyText"/>
        <w:spacing w:after="0" w:line="360" w:lineRule="auto"/>
        <w:jc w:val="thaiDistribute"/>
        <w:rPr>
          <w:rFonts w:ascii="Arial" w:hAnsi="Arial"/>
          <w:sz w:val="19"/>
          <w:szCs w:val="19"/>
        </w:rPr>
      </w:pPr>
      <w:r w:rsidRPr="004D2CC3">
        <w:rPr>
          <w:rFonts w:ascii="Arial" w:hAnsi="Arial"/>
          <w:sz w:val="19"/>
          <w:szCs w:val="19"/>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AFC16C3" w14:textId="3279E3B6" w:rsidR="0050782C" w:rsidRDefault="0050782C" w:rsidP="00D35E12">
      <w:pPr>
        <w:spacing w:after="0" w:line="360" w:lineRule="auto"/>
        <w:jc w:val="thaiDistribute"/>
        <w:rPr>
          <w:rFonts w:ascii="Arial" w:hAnsi="Arial"/>
          <w:sz w:val="19"/>
          <w:szCs w:val="19"/>
        </w:rPr>
      </w:pPr>
    </w:p>
    <w:p w14:paraId="21D9284D" w14:textId="77777777" w:rsidR="00197765" w:rsidRDefault="00197765" w:rsidP="00D35E12">
      <w:pPr>
        <w:spacing w:after="0" w:line="360" w:lineRule="auto"/>
        <w:jc w:val="thaiDistribute"/>
        <w:rPr>
          <w:rFonts w:ascii="Arial" w:hAnsi="Arial"/>
          <w:sz w:val="19"/>
          <w:szCs w:val="19"/>
        </w:rPr>
      </w:pPr>
    </w:p>
    <w:p w14:paraId="6B636189" w14:textId="77777777" w:rsidR="000A3A58" w:rsidRDefault="000A3A58" w:rsidP="00D35E12">
      <w:pPr>
        <w:spacing w:after="0" w:line="360" w:lineRule="auto"/>
        <w:jc w:val="thaiDistribute"/>
        <w:rPr>
          <w:rFonts w:ascii="Arial" w:hAnsi="Arial"/>
          <w:sz w:val="19"/>
          <w:szCs w:val="19"/>
        </w:rPr>
      </w:pPr>
    </w:p>
    <w:p w14:paraId="08E6D051" w14:textId="68C57A29" w:rsidR="006A118A" w:rsidRPr="00656078" w:rsidRDefault="001F3000" w:rsidP="001F4D13">
      <w:pPr>
        <w:spacing w:after="0" w:line="240" w:lineRule="auto"/>
        <w:rPr>
          <w:rFonts w:ascii="Arial" w:hAnsi="Arial"/>
          <w:b/>
          <w:bCs/>
          <w:sz w:val="19"/>
          <w:szCs w:val="19"/>
        </w:rPr>
      </w:pPr>
      <w:r>
        <w:rPr>
          <w:rFonts w:ascii="Arial" w:hAnsi="Arial"/>
          <w:b/>
          <w:bCs/>
          <w:sz w:val="19"/>
          <w:szCs w:val="19"/>
        </w:rPr>
        <w:br w:type="page"/>
      </w:r>
      <w:r w:rsidR="006A118A" w:rsidRPr="00656078">
        <w:rPr>
          <w:rFonts w:ascii="Arial" w:hAnsi="Arial"/>
          <w:b/>
          <w:bCs/>
          <w:sz w:val="19"/>
          <w:szCs w:val="19"/>
        </w:rPr>
        <w:lastRenderedPageBreak/>
        <w:t>Conclusion</w:t>
      </w:r>
    </w:p>
    <w:p w14:paraId="19D27AE9" w14:textId="77777777" w:rsidR="006A118A" w:rsidRPr="00924CBB" w:rsidRDefault="006A118A" w:rsidP="006A118A">
      <w:pPr>
        <w:pStyle w:val="BodyText"/>
        <w:spacing w:after="0" w:line="360" w:lineRule="auto"/>
        <w:rPr>
          <w:rFonts w:ascii="Arial" w:hAnsi="Arial"/>
          <w:szCs w:val="18"/>
        </w:rPr>
      </w:pPr>
    </w:p>
    <w:p w14:paraId="475A7A3C" w14:textId="1C3D0265" w:rsidR="006A118A" w:rsidRPr="002B294A" w:rsidRDefault="006A118A" w:rsidP="002B294A">
      <w:pPr>
        <w:pStyle w:val="BodyText"/>
        <w:spacing w:after="0" w:line="360" w:lineRule="auto"/>
        <w:jc w:val="thaiDistribute"/>
        <w:rPr>
          <w:rFonts w:ascii="Arial" w:hAnsi="Arial"/>
          <w:sz w:val="19"/>
          <w:szCs w:val="19"/>
        </w:rPr>
      </w:pPr>
      <w:r w:rsidRPr="004D2CC3">
        <w:rPr>
          <w:rFonts w:ascii="Arial" w:hAnsi="Arial"/>
          <w:sz w:val="19"/>
          <w:szCs w:val="19"/>
        </w:rPr>
        <w:t>Based on my review, nothing has come to my attention that causes me to believe that the accompanying interim consolidated</w:t>
      </w:r>
      <w:r w:rsidR="008E04D4">
        <w:rPr>
          <w:rFonts w:ascii="Arial" w:hAnsi="Arial" w:cs="Browallia New"/>
          <w:sz w:val="19"/>
          <w:szCs w:val="24"/>
          <w:lang w:val="en-US" w:bidi="th-TH"/>
        </w:rPr>
        <w:t xml:space="preserve"> </w:t>
      </w:r>
      <w:r w:rsidRPr="004D2CC3">
        <w:rPr>
          <w:rFonts w:ascii="Arial" w:hAnsi="Arial"/>
          <w:sz w:val="19"/>
          <w:szCs w:val="19"/>
        </w:rPr>
        <w:t>and separate financial information is not prepared, in all material respects, in accordance with Thai Accounting Standard No. 34 “Interim Financial Reporting”.</w:t>
      </w:r>
    </w:p>
    <w:p w14:paraId="3F5274F3" w14:textId="77777777" w:rsidR="00B10C94" w:rsidRPr="00924CBB" w:rsidRDefault="00B10C94" w:rsidP="006D7588">
      <w:pPr>
        <w:pStyle w:val="BodyText"/>
        <w:spacing w:line="360" w:lineRule="auto"/>
        <w:rPr>
          <w:rFonts w:ascii="Arial" w:hAnsi="Arial" w:cstheme="minorBidi"/>
          <w:b/>
          <w:bCs/>
          <w:szCs w:val="18"/>
          <w:lang w:bidi="th-TH"/>
        </w:rPr>
      </w:pPr>
    </w:p>
    <w:p w14:paraId="64A7E5BC" w14:textId="4E6E4CA8" w:rsidR="00C25035" w:rsidRDefault="00D2222C" w:rsidP="00C25035">
      <w:pPr>
        <w:spacing w:after="0" w:line="240" w:lineRule="auto"/>
        <w:rPr>
          <w:rFonts w:ascii="Arial" w:hAnsi="Arial"/>
          <w:b/>
          <w:bCs/>
          <w:sz w:val="19"/>
          <w:szCs w:val="19"/>
        </w:rPr>
      </w:pPr>
      <w:r>
        <w:rPr>
          <w:rFonts w:ascii="Arial" w:hAnsi="Arial"/>
          <w:b/>
          <w:bCs/>
          <w:sz w:val="19"/>
          <w:szCs w:val="19"/>
        </w:rPr>
        <w:t>Material Un</w:t>
      </w:r>
      <w:r w:rsidR="00577B1E">
        <w:rPr>
          <w:rFonts w:ascii="Arial" w:hAnsi="Arial"/>
          <w:b/>
          <w:bCs/>
          <w:sz w:val="19"/>
          <w:szCs w:val="19"/>
        </w:rPr>
        <w:t xml:space="preserve">certainty Related </w:t>
      </w:r>
      <w:proofErr w:type="gramStart"/>
      <w:r w:rsidR="00577B1E">
        <w:rPr>
          <w:rFonts w:ascii="Arial" w:hAnsi="Arial"/>
          <w:b/>
          <w:bCs/>
          <w:sz w:val="19"/>
          <w:szCs w:val="19"/>
        </w:rPr>
        <w:t>To</w:t>
      </w:r>
      <w:proofErr w:type="gramEnd"/>
      <w:r w:rsidR="00577B1E">
        <w:rPr>
          <w:rFonts w:ascii="Arial" w:hAnsi="Arial"/>
          <w:b/>
          <w:bCs/>
          <w:sz w:val="19"/>
          <w:szCs w:val="19"/>
        </w:rPr>
        <w:t xml:space="preserve"> Going Concern</w:t>
      </w:r>
    </w:p>
    <w:p w14:paraId="6F070899" w14:textId="77777777" w:rsidR="00C25035" w:rsidRDefault="00C25035" w:rsidP="00C22014">
      <w:pPr>
        <w:pStyle w:val="BodyText"/>
        <w:spacing w:after="0" w:line="360" w:lineRule="auto"/>
        <w:rPr>
          <w:rFonts w:ascii="Arial" w:hAnsi="Arial"/>
          <w:b/>
          <w:bCs/>
          <w:sz w:val="19"/>
          <w:szCs w:val="19"/>
        </w:rPr>
      </w:pPr>
    </w:p>
    <w:p w14:paraId="5B357103" w14:textId="1E7FF10A" w:rsidR="0080245A" w:rsidRPr="001C1B20" w:rsidRDefault="001C7082" w:rsidP="00924CBB">
      <w:pPr>
        <w:pStyle w:val="BodyText"/>
        <w:spacing w:after="0" w:line="360" w:lineRule="auto"/>
        <w:jc w:val="thaiDistribute"/>
        <w:rPr>
          <w:rFonts w:ascii="Arial" w:hAnsi="Arial"/>
          <w:sz w:val="19"/>
          <w:szCs w:val="19"/>
          <w:lang w:val="en-US"/>
        </w:rPr>
      </w:pPr>
      <w:r w:rsidRPr="001C7082">
        <w:rPr>
          <w:rFonts w:ascii="Arial" w:hAnsi="Arial"/>
          <w:sz w:val="19"/>
          <w:szCs w:val="19"/>
        </w:rPr>
        <w:t>We draw attention to</w:t>
      </w:r>
      <w:r w:rsidR="0080245A" w:rsidRPr="00924CBB">
        <w:rPr>
          <w:rFonts w:ascii="Arial" w:hAnsi="Arial"/>
          <w:sz w:val="19"/>
          <w:szCs w:val="19"/>
        </w:rPr>
        <w:t xml:space="preserve"> Note 1.2 to the interim financial information, </w:t>
      </w:r>
      <w:r w:rsidRPr="001C7082">
        <w:rPr>
          <w:rFonts w:ascii="Arial" w:hAnsi="Arial"/>
          <w:sz w:val="19"/>
          <w:szCs w:val="19"/>
        </w:rPr>
        <w:t xml:space="preserve">which indicates that, </w:t>
      </w:r>
      <w:r w:rsidR="0080245A" w:rsidRPr="00924CBB">
        <w:rPr>
          <w:rFonts w:ascii="Arial" w:hAnsi="Arial"/>
          <w:sz w:val="19"/>
          <w:szCs w:val="19"/>
        </w:rPr>
        <w:t xml:space="preserve">as </w:t>
      </w:r>
      <w:proofErr w:type="gramStart"/>
      <w:r w:rsidR="0080245A" w:rsidRPr="00924CBB">
        <w:rPr>
          <w:rFonts w:ascii="Arial" w:hAnsi="Arial"/>
          <w:sz w:val="19"/>
          <w:szCs w:val="19"/>
        </w:rPr>
        <w:t>at</w:t>
      </w:r>
      <w:proofErr w:type="gramEnd"/>
      <w:r w:rsidR="0080245A" w:rsidRPr="00924CBB">
        <w:rPr>
          <w:rFonts w:ascii="Arial" w:hAnsi="Arial"/>
          <w:sz w:val="19"/>
          <w:szCs w:val="19"/>
        </w:rPr>
        <w:t xml:space="preserve"> 30 June 2026, the </w:t>
      </w:r>
      <w:r w:rsidRPr="001C7082">
        <w:rPr>
          <w:rFonts w:ascii="Arial" w:hAnsi="Arial"/>
          <w:sz w:val="19"/>
          <w:szCs w:val="19"/>
        </w:rPr>
        <w:t>Company's</w:t>
      </w:r>
      <w:r w:rsidR="0080245A" w:rsidRPr="00924CBB">
        <w:rPr>
          <w:rFonts w:ascii="Arial" w:hAnsi="Arial"/>
          <w:sz w:val="19"/>
          <w:szCs w:val="19"/>
        </w:rPr>
        <w:t xml:space="preserve"> current liabilities exceeded its current assets by Baht </w:t>
      </w:r>
      <w:r w:rsidR="004254E4">
        <w:rPr>
          <w:rFonts w:ascii="Arial" w:hAnsi="Arial" w:cstheme="minorBidi"/>
          <w:sz w:val="19"/>
          <w:szCs w:val="24"/>
          <w:lang w:val="en-US" w:bidi="th-TH"/>
        </w:rPr>
        <w:t>375</w:t>
      </w:r>
      <w:r w:rsidR="0080245A" w:rsidRPr="00924CBB">
        <w:rPr>
          <w:rFonts w:ascii="Arial" w:hAnsi="Arial"/>
          <w:sz w:val="19"/>
          <w:szCs w:val="19"/>
        </w:rPr>
        <w:t>.97 million</w:t>
      </w:r>
      <w:r w:rsidRPr="001C7082">
        <w:rPr>
          <w:rFonts w:ascii="Arial" w:hAnsi="Arial"/>
          <w:sz w:val="19"/>
          <w:szCs w:val="19"/>
        </w:rPr>
        <w:t xml:space="preserve"> in the separate financial </w:t>
      </w:r>
      <w:r w:rsidR="00377065">
        <w:rPr>
          <w:rFonts w:ascii="Arial" w:hAnsi="Arial"/>
          <w:sz w:val="19"/>
          <w:szCs w:val="19"/>
        </w:rPr>
        <w:t>information</w:t>
      </w:r>
      <w:r w:rsidR="00EE187E">
        <w:rPr>
          <w:rFonts w:ascii="Arial" w:hAnsi="Arial"/>
          <w:sz w:val="19"/>
          <w:szCs w:val="19"/>
        </w:rPr>
        <w:t>. T</w:t>
      </w:r>
      <w:r w:rsidRPr="001C7082">
        <w:rPr>
          <w:rFonts w:ascii="Arial" w:hAnsi="Arial"/>
          <w:sz w:val="19"/>
          <w:szCs w:val="19"/>
        </w:rPr>
        <w:t>he</w:t>
      </w:r>
      <w:r w:rsidR="0080245A" w:rsidRPr="00924CBB">
        <w:rPr>
          <w:rFonts w:ascii="Arial" w:hAnsi="Arial"/>
          <w:sz w:val="19"/>
          <w:szCs w:val="19"/>
        </w:rPr>
        <w:t xml:space="preserve"> Group and the Company </w:t>
      </w:r>
      <w:r w:rsidRPr="001C7082">
        <w:rPr>
          <w:rFonts w:ascii="Arial" w:hAnsi="Arial"/>
          <w:sz w:val="19"/>
          <w:szCs w:val="19"/>
        </w:rPr>
        <w:t xml:space="preserve">incurred operating losses for the </w:t>
      </w:r>
      <w:r w:rsidR="003A111C">
        <w:rPr>
          <w:rFonts w:ascii="Arial" w:hAnsi="Arial"/>
          <w:sz w:val="19"/>
          <w:szCs w:val="19"/>
        </w:rPr>
        <w:br/>
      </w:r>
      <w:r w:rsidRPr="001C7082">
        <w:rPr>
          <w:rFonts w:ascii="Arial" w:hAnsi="Arial"/>
          <w:sz w:val="19"/>
          <w:szCs w:val="19"/>
        </w:rPr>
        <w:t>six-month period</w:t>
      </w:r>
      <w:r w:rsidR="00B519BF">
        <w:rPr>
          <w:rFonts w:ascii="Arial" w:hAnsi="Arial" w:cstheme="minorBidi" w:hint="cs"/>
          <w:sz w:val="19"/>
          <w:szCs w:val="24"/>
          <w:cs/>
          <w:lang w:bidi="th-TH"/>
        </w:rPr>
        <w:t xml:space="preserve"> </w:t>
      </w:r>
      <w:r w:rsidR="00B519BF">
        <w:rPr>
          <w:rFonts w:ascii="Arial" w:hAnsi="Arial" w:cstheme="minorBidi"/>
          <w:sz w:val="19"/>
          <w:szCs w:val="24"/>
          <w:lang w:val="en-US" w:bidi="th-TH"/>
        </w:rPr>
        <w:t>then</w:t>
      </w:r>
      <w:r w:rsidRPr="001C7082">
        <w:rPr>
          <w:rFonts w:ascii="Arial" w:hAnsi="Arial"/>
          <w:sz w:val="19"/>
          <w:szCs w:val="19"/>
        </w:rPr>
        <w:t xml:space="preserve"> ended</w:t>
      </w:r>
      <w:r w:rsidR="00EF3E77">
        <w:rPr>
          <w:rFonts w:ascii="Arial" w:hAnsi="Arial"/>
          <w:sz w:val="19"/>
          <w:szCs w:val="19"/>
        </w:rPr>
        <w:t xml:space="preserve"> </w:t>
      </w:r>
      <w:r w:rsidRPr="001C7082">
        <w:rPr>
          <w:rFonts w:ascii="Arial" w:hAnsi="Arial"/>
          <w:sz w:val="19"/>
          <w:szCs w:val="19"/>
        </w:rPr>
        <w:t>of Baht 48.88 million and Baht 112.89 million</w:t>
      </w:r>
      <w:r w:rsidR="00917FD7">
        <w:rPr>
          <w:rFonts w:ascii="Arial" w:hAnsi="Arial" w:cstheme="minorBidi" w:hint="cs"/>
          <w:sz w:val="19"/>
          <w:szCs w:val="24"/>
          <w:cs/>
          <w:lang w:bidi="th-TH"/>
        </w:rPr>
        <w:t xml:space="preserve"> </w:t>
      </w:r>
      <w:r w:rsidR="00917FD7">
        <w:rPr>
          <w:rFonts w:ascii="Arial" w:hAnsi="Arial" w:cstheme="minorBidi"/>
          <w:sz w:val="19"/>
          <w:szCs w:val="24"/>
          <w:lang w:val="en-US" w:bidi="th-TH"/>
        </w:rPr>
        <w:t xml:space="preserve">in the </w:t>
      </w:r>
      <w:r w:rsidR="007927E8">
        <w:rPr>
          <w:rFonts w:ascii="Arial" w:hAnsi="Arial" w:cstheme="minorBidi"/>
          <w:sz w:val="19"/>
          <w:szCs w:val="24"/>
          <w:lang w:val="en-US" w:bidi="th-TH"/>
        </w:rPr>
        <w:t>consolidated and separate finan</w:t>
      </w:r>
      <w:r w:rsidR="000A2639">
        <w:rPr>
          <w:rFonts w:ascii="Arial" w:hAnsi="Arial" w:cstheme="minorBidi"/>
          <w:sz w:val="19"/>
          <w:szCs w:val="24"/>
          <w:lang w:val="en-US" w:bidi="th-TH"/>
        </w:rPr>
        <w:t>cial information</w:t>
      </w:r>
      <w:r w:rsidRPr="001C7082">
        <w:rPr>
          <w:rFonts w:ascii="Arial" w:hAnsi="Arial"/>
          <w:sz w:val="19"/>
          <w:szCs w:val="19"/>
        </w:rPr>
        <w:t xml:space="preserve">, respectively. </w:t>
      </w:r>
    </w:p>
    <w:p w14:paraId="43B263CB" w14:textId="77777777" w:rsidR="00C1675F" w:rsidRPr="00924CBB" w:rsidRDefault="00C1675F" w:rsidP="00272BAB">
      <w:pPr>
        <w:pStyle w:val="BodyText"/>
        <w:spacing w:after="0" w:line="360" w:lineRule="auto"/>
        <w:rPr>
          <w:rFonts w:ascii="Arial" w:hAnsi="Arial"/>
          <w:szCs w:val="18"/>
        </w:rPr>
      </w:pPr>
    </w:p>
    <w:p w14:paraId="2C3D5702" w14:textId="6A913527" w:rsidR="0080245A" w:rsidRPr="00E1525A" w:rsidRDefault="00EE187E" w:rsidP="00924CBB">
      <w:pPr>
        <w:pStyle w:val="BodyText"/>
        <w:spacing w:after="0" w:line="360" w:lineRule="auto"/>
        <w:jc w:val="thaiDistribute"/>
        <w:rPr>
          <w:rFonts w:ascii="Arial" w:hAnsi="Arial"/>
          <w:sz w:val="19"/>
          <w:szCs w:val="19"/>
          <w:lang w:val="en-US"/>
        </w:rPr>
      </w:pPr>
      <w:r>
        <w:rPr>
          <w:rFonts w:ascii="Arial" w:hAnsi="Arial"/>
          <w:sz w:val="19"/>
          <w:szCs w:val="19"/>
          <w:lang w:val="en-US"/>
        </w:rPr>
        <w:t>In addition</w:t>
      </w:r>
      <w:r w:rsidR="00DC62A1">
        <w:rPr>
          <w:rFonts w:ascii="Arial" w:hAnsi="Arial"/>
          <w:sz w:val="19"/>
          <w:szCs w:val="19"/>
          <w:lang w:val="en-US"/>
        </w:rPr>
        <w:t xml:space="preserve">, </w:t>
      </w:r>
      <w:r w:rsidR="00DC62A1">
        <w:rPr>
          <w:rFonts w:ascii="Arial" w:hAnsi="Arial"/>
          <w:sz w:val="19"/>
          <w:szCs w:val="19"/>
        </w:rPr>
        <w:t>a</w:t>
      </w:r>
      <w:r w:rsidR="00E1525A" w:rsidRPr="00E1525A">
        <w:rPr>
          <w:rFonts w:ascii="Arial" w:hAnsi="Arial"/>
          <w:sz w:val="19"/>
          <w:szCs w:val="19"/>
        </w:rPr>
        <w:t>s disclosed in Note 15 to the interim financial information, during the second quarter of 2026</w:t>
      </w:r>
      <w:r w:rsidR="0080245A" w:rsidRPr="00924CBB">
        <w:rPr>
          <w:rFonts w:ascii="Arial" w:hAnsi="Arial"/>
          <w:sz w:val="19"/>
          <w:szCs w:val="19"/>
        </w:rPr>
        <w:t>, the Company</w:t>
      </w:r>
      <w:r w:rsidR="002478C9">
        <w:rPr>
          <w:rFonts w:ascii="Arial" w:hAnsi="Arial"/>
          <w:sz w:val="19"/>
          <w:szCs w:val="19"/>
        </w:rPr>
        <w:t xml:space="preserve"> has</w:t>
      </w:r>
      <w:r w:rsidR="0080245A" w:rsidRPr="00924CBB">
        <w:rPr>
          <w:rFonts w:ascii="Arial" w:hAnsi="Arial"/>
          <w:sz w:val="19"/>
          <w:szCs w:val="19"/>
        </w:rPr>
        <w:t xml:space="preserve"> defaulted on </w:t>
      </w:r>
      <w:r w:rsidR="00E1525A" w:rsidRPr="00E1525A">
        <w:rPr>
          <w:rFonts w:ascii="Arial" w:hAnsi="Arial"/>
          <w:sz w:val="19"/>
          <w:szCs w:val="19"/>
        </w:rPr>
        <w:t>repayments</w:t>
      </w:r>
      <w:r w:rsidR="0080245A" w:rsidRPr="00924CBB">
        <w:rPr>
          <w:rFonts w:ascii="Arial" w:hAnsi="Arial"/>
          <w:sz w:val="19"/>
          <w:szCs w:val="19"/>
        </w:rPr>
        <w:t xml:space="preserve"> of a long-term loan from </w:t>
      </w:r>
      <w:r w:rsidR="00FD03D9">
        <w:rPr>
          <w:rFonts w:ascii="Arial" w:hAnsi="Arial"/>
          <w:sz w:val="19"/>
          <w:szCs w:val="19"/>
        </w:rPr>
        <w:t>the</w:t>
      </w:r>
      <w:r w:rsidR="0080245A" w:rsidRPr="00924CBB">
        <w:rPr>
          <w:rFonts w:ascii="Arial" w:hAnsi="Arial"/>
          <w:sz w:val="19"/>
          <w:szCs w:val="19"/>
        </w:rPr>
        <w:t xml:space="preserve"> financial institution</w:t>
      </w:r>
      <w:r w:rsidR="00E1525A" w:rsidRPr="00E1525A">
        <w:rPr>
          <w:rFonts w:ascii="Arial" w:hAnsi="Arial"/>
          <w:sz w:val="19"/>
          <w:szCs w:val="19"/>
        </w:rPr>
        <w:t>. As a result, the outstanding balance of such loan has been classified as a current liability in the consolidated and separate statements of financial position.</w:t>
      </w:r>
      <w:r w:rsidR="0080245A" w:rsidRPr="00924CBB">
        <w:rPr>
          <w:rFonts w:ascii="Arial" w:hAnsi="Arial"/>
          <w:sz w:val="19"/>
          <w:szCs w:val="19"/>
        </w:rPr>
        <w:t xml:space="preserve"> The Company is currently negotiating </w:t>
      </w:r>
      <w:r w:rsidR="00E1525A" w:rsidRPr="00E1525A">
        <w:rPr>
          <w:rFonts w:ascii="Arial" w:hAnsi="Arial"/>
          <w:sz w:val="19"/>
          <w:szCs w:val="19"/>
        </w:rPr>
        <w:t xml:space="preserve">revised </w:t>
      </w:r>
      <w:r w:rsidR="0080245A" w:rsidRPr="00924CBB">
        <w:rPr>
          <w:rFonts w:ascii="Arial" w:hAnsi="Arial"/>
          <w:sz w:val="19"/>
          <w:szCs w:val="19"/>
        </w:rPr>
        <w:t>repayment terms</w:t>
      </w:r>
      <w:r w:rsidR="00E1525A" w:rsidRPr="00E1525A">
        <w:rPr>
          <w:rFonts w:ascii="Arial" w:hAnsi="Arial"/>
          <w:sz w:val="19"/>
          <w:szCs w:val="19"/>
        </w:rPr>
        <w:t>, including a possible</w:t>
      </w:r>
      <w:r w:rsidR="0080245A" w:rsidRPr="00924CBB">
        <w:rPr>
          <w:rFonts w:ascii="Arial" w:hAnsi="Arial"/>
          <w:sz w:val="19"/>
          <w:szCs w:val="19"/>
        </w:rPr>
        <w:t xml:space="preserve"> debt restructuring arrangement</w:t>
      </w:r>
      <w:r w:rsidR="00E1525A" w:rsidRPr="00E1525A">
        <w:rPr>
          <w:rFonts w:ascii="Arial" w:hAnsi="Arial"/>
          <w:sz w:val="19"/>
          <w:szCs w:val="19"/>
        </w:rPr>
        <w:t>,</w:t>
      </w:r>
      <w:r w:rsidR="0080245A" w:rsidRPr="00924CBB">
        <w:rPr>
          <w:rFonts w:ascii="Arial" w:hAnsi="Arial"/>
          <w:sz w:val="19"/>
          <w:szCs w:val="19"/>
        </w:rPr>
        <w:t xml:space="preserve"> with the financial institution. </w:t>
      </w:r>
      <w:r w:rsidR="00E1525A" w:rsidRPr="00E1525A">
        <w:rPr>
          <w:rFonts w:ascii="Arial" w:hAnsi="Arial"/>
          <w:sz w:val="19"/>
          <w:szCs w:val="19"/>
        </w:rPr>
        <w:t xml:space="preserve">However, the outcome of such </w:t>
      </w:r>
      <w:r w:rsidR="00ED3652" w:rsidRPr="00ED3652">
        <w:rPr>
          <w:rFonts w:ascii="Arial" w:hAnsi="Arial"/>
          <w:sz w:val="19"/>
          <w:szCs w:val="19"/>
        </w:rPr>
        <w:t>discussions</w:t>
      </w:r>
      <w:r w:rsidR="00E1525A" w:rsidRPr="00E1525A">
        <w:rPr>
          <w:rFonts w:ascii="Arial" w:hAnsi="Arial"/>
          <w:sz w:val="19"/>
          <w:szCs w:val="19"/>
        </w:rPr>
        <w:t xml:space="preserve"> ha</w:t>
      </w:r>
      <w:r w:rsidR="00D74434">
        <w:rPr>
          <w:rFonts w:ascii="Arial" w:hAnsi="Arial"/>
          <w:sz w:val="19"/>
          <w:szCs w:val="19"/>
        </w:rPr>
        <w:t>s</w:t>
      </w:r>
      <w:r w:rsidR="00E1525A" w:rsidRPr="00E1525A">
        <w:rPr>
          <w:rFonts w:ascii="Arial" w:hAnsi="Arial"/>
          <w:sz w:val="19"/>
          <w:szCs w:val="19"/>
        </w:rPr>
        <w:t xml:space="preserve"> not been </w:t>
      </w:r>
      <w:r w:rsidR="00ED3652" w:rsidRPr="00ED3652">
        <w:rPr>
          <w:rFonts w:ascii="Arial" w:hAnsi="Arial"/>
          <w:sz w:val="19"/>
          <w:szCs w:val="19"/>
        </w:rPr>
        <w:t>finalised</w:t>
      </w:r>
      <w:r w:rsidR="00E1525A" w:rsidRPr="00E1525A">
        <w:rPr>
          <w:rFonts w:ascii="Arial" w:hAnsi="Arial"/>
          <w:sz w:val="19"/>
          <w:szCs w:val="19"/>
        </w:rPr>
        <w:t xml:space="preserve"> as of the date of this </w:t>
      </w:r>
      <w:r w:rsidR="00ED3652" w:rsidRPr="00ED3652">
        <w:rPr>
          <w:rFonts w:ascii="Arial" w:hAnsi="Arial"/>
          <w:sz w:val="19"/>
          <w:szCs w:val="19"/>
        </w:rPr>
        <w:t>interim financial information</w:t>
      </w:r>
      <w:r w:rsidR="00E1525A" w:rsidRPr="00E1525A">
        <w:rPr>
          <w:rFonts w:ascii="Arial" w:hAnsi="Arial"/>
          <w:sz w:val="19"/>
          <w:szCs w:val="19"/>
        </w:rPr>
        <w:t>.</w:t>
      </w:r>
    </w:p>
    <w:p w14:paraId="5FD8BDE5" w14:textId="77777777" w:rsidR="00C1675F" w:rsidRPr="00924CBB" w:rsidRDefault="00C1675F" w:rsidP="00272BAB">
      <w:pPr>
        <w:pStyle w:val="BodyText"/>
        <w:spacing w:after="0" w:line="360" w:lineRule="auto"/>
        <w:rPr>
          <w:rFonts w:ascii="Arial" w:hAnsi="Arial"/>
          <w:szCs w:val="18"/>
        </w:rPr>
      </w:pPr>
    </w:p>
    <w:p w14:paraId="76F2FF58" w14:textId="6790C6A4" w:rsidR="00C1675F" w:rsidRDefault="00C03187" w:rsidP="00924CBB">
      <w:pPr>
        <w:pStyle w:val="BodyText"/>
        <w:spacing w:after="0" w:line="360" w:lineRule="auto"/>
        <w:jc w:val="thaiDistribute"/>
        <w:rPr>
          <w:rFonts w:ascii="Arial" w:hAnsi="Arial"/>
          <w:sz w:val="19"/>
          <w:szCs w:val="19"/>
          <w:cs/>
          <w:lang w:bidi="th-TH"/>
        </w:rPr>
      </w:pPr>
      <w:r w:rsidRPr="00C03187">
        <w:rPr>
          <w:rFonts w:ascii="Arial" w:hAnsi="Arial"/>
          <w:sz w:val="19"/>
          <w:szCs w:val="19"/>
        </w:rPr>
        <w:t>The Group’s and the Company’s ability to continue as a going concern depends on their liquidity position, the availability of additional financing and investments to generate sufficient revenue and cash inflows</w:t>
      </w:r>
      <w:r w:rsidR="00D30187">
        <w:rPr>
          <w:rFonts w:ascii="Arial" w:hAnsi="Arial"/>
          <w:sz w:val="19"/>
          <w:szCs w:val="19"/>
        </w:rPr>
        <w:t xml:space="preserve"> to ensure</w:t>
      </w:r>
      <w:r w:rsidR="00AB1667">
        <w:rPr>
          <w:rFonts w:ascii="Arial" w:hAnsi="Arial"/>
          <w:sz w:val="19"/>
          <w:szCs w:val="19"/>
        </w:rPr>
        <w:t xml:space="preserve"> the Group’s ability t</w:t>
      </w:r>
      <w:r w:rsidR="00C950FE">
        <w:rPr>
          <w:rFonts w:ascii="Arial" w:hAnsi="Arial"/>
          <w:sz w:val="19"/>
          <w:szCs w:val="19"/>
        </w:rPr>
        <w:t>o m</w:t>
      </w:r>
      <w:r w:rsidR="003F12E1">
        <w:rPr>
          <w:rFonts w:ascii="Arial" w:hAnsi="Arial"/>
          <w:sz w:val="19"/>
          <w:szCs w:val="19"/>
        </w:rPr>
        <w:t xml:space="preserve">eet </w:t>
      </w:r>
      <w:proofErr w:type="spellStart"/>
      <w:proofErr w:type="gramStart"/>
      <w:r w:rsidR="00CE533D">
        <w:rPr>
          <w:rFonts w:ascii="Arial" w:hAnsi="Arial"/>
          <w:sz w:val="19"/>
          <w:szCs w:val="19"/>
        </w:rPr>
        <w:t>it’s</w:t>
      </w:r>
      <w:proofErr w:type="spellEnd"/>
      <w:proofErr w:type="gramEnd"/>
      <w:r w:rsidR="00533C6E">
        <w:rPr>
          <w:rFonts w:ascii="Arial" w:hAnsi="Arial"/>
          <w:sz w:val="19"/>
          <w:szCs w:val="19"/>
        </w:rPr>
        <w:t xml:space="preserve"> liabilities</w:t>
      </w:r>
      <w:r w:rsidR="001A5FBB">
        <w:rPr>
          <w:rFonts w:ascii="Arial" w:hAnsi="Arial"/>
          <w:sz w:val="19"/>
          <w:szCs w:val="19"/>
        </w:rPr>
        <w:t xml:space="preserve"> </w:t>
      </w:r>
      <w:r w:rsidR="00745609">
        <w:rPr>
          <w:rFonts w:ascii="Arial" w:hAnsi="Arial"/>
          <w:sz w:val="19"/>
          <w:szCs w:val="19"/>
        </w:rPr>
        <w:t xml:space="preserve">on </w:t>
      </w:r>
      <w:r w:rsidR="00056F19">
        <w:rPr>
          <w:rFonts w:ascii="Arial" w:hAnsi="Arial"/>
          <w:sz w:val="19"/>
          <w:szCs w:val="19"/>
        </w:rPr>
        <w:t>due date</w:t>
      </w:r>
      <w:r w:rsidRPr="00C03187">
        <w:rPr>
          <w:rFonts w:ascii="Arial" w:hAnsi="Arial"/>
          <w:sz w:val="19"/>
          <w:szCs w:val="19"/>
        </w:rPr>
        <w:t xml:space="preserve">, and the outcome of negotiations with the </w:t>
      </w:r>
      <w:r w:rsidR="00D74434">
        <w:rPr>
          <w:rFonts w:ascii="Arial" w:hAnsi="Arial"/>
          <w:sz w:val="19"/>
          <w:szCs w:val="19"/>
        </w:rPr>
        <w:t>financial institu</w:t>
      </w:r>
      <w:r w:rsidR="003D494A">
        <w:rPr>
          <w:rFonts w:ascii="Arial" w:hAnsi="Arial"/>
          <w:sz w:val="19"/>
          <w:szCs w:val="19"/>
        </w:rPr>
        <w:t>tion</w:t>
      </w:r>
      <w:r w:rsidRPr="00C03187">
        <w:rPr>
          <w:rFonts w:ascii="Arial" w:hAnsi="Arial"/>
          <w:sz w:val="19"/>
          <w:szCs w:val="19"/>
        </w:rPr>
        <w:t xml:space="preserve"> regarding repayment demands and revised debt repayment arrangements.</w:t>
      </w:r>
    </w:p>
    <w:p w14:paraId="4489A8FB" w14:textId="77777777" w:rsidR="00A444EC" w:rsidRDefault="00A444EC" w:rsidP="00924CBB">
      <w:pPr>
        <w:pStyle w:val="BodyText"/>
        <w:spacing w:after="0" w:line="360" w:lineRule="auto"/>
        <w:jc w:val="thaiDistribute"/>
        <w:rPr>
          <w:rFonts w:ascii="Arial" w:hAnsi="Arial"/>
          <w:sz w:val="19"/>
          <w:szCs w:val="19"/>
        </w:rPr>
      </w:pPr>
    </w:p>
    <w:p w14:paraId="4F3CBD01" w14:textId="4737D8EC" w:rsidR="0080245A" w:rsidRPr="00FB695C" w:rsidRDefault="0080245A" w:rsidP="00924CBB">
      <w:pPr>
        <w:pStyle w:val="BodyText"/>
        <w:spacing w:after="0" w:line="360" w:lineRule="auto"/>
        <w:jc w:val="thaiDistribute"/>
        <w:rPr>
          <w:rFonts w:ascii="Arial" w:hAnsi="Arial"/>
          <w:sz w:val="19"/>
          <w:szCs w:val="19"/>
          <w:lang w:val="en-US"/>
        </w:rPr>
      </w:pPr>
      <w:r w:rsidRPr="00924CBB">
        <w:rPr>
          <w:rFonts w:ascii="Arial" w:hAnsi="Arial"/>
          <w:sz w:val="19"/>
          <w:szCs w:val="19"/>
        </w:rPr>
        <w:t xml:space="preserve">These </w:t>
      </w:r>
      <w:r w:rsidR="00FB695C" w:rsidRPr="00FB695C">
        <w:rPr>
          <w:rFonts w:ascii="Arial" w:hAnsi="Arial"/>
          <w:sz w:val="19"/>
          <w:szCs w:val="19"/>
        </w:rPr>
        <w:t xml:space="preserve">events and </w:t>
      </w:r>
      <w:r w:rsidRPr="00924CBB">
        <w:rPr>
          <w:rFonts w:ascii="Arial" w:hAnsi="Arial"/>
          <w:sz w:val="19"/>
          <w:szCs w:val="19"/>
        </w:rPr>
        <w:t xml:space="preserve">conditions indicate </w:t>
      </w:r>
      <w:r w:rsidR="00FB695C" w:rsidRPr="00FB695C">
        <w:rPr>
          <w:rFonts w:ascii="Arial" w:hAnsi="Arial"/>
          <w:sz w:val="19"/>
          <w:szCs w:val="19"/>
        </w:rPr>
        <w:t>that a</w:t>
      </w:r>
      <w:r w:rsidRPr="00924CBB">
        <w:rPr>
          <w:rFonts w:ascii="Arial" w:hAnsi="Arial"/>
          <w:sz w:val="19"/>
          <w:szCs w:val="19"/>
        </w:rPr>
        <w:t xml:space="preserve"> </w:t>
      </w:r>
      <w:r w:rsidR="00455895" w:rsidRPr="00924CBB">
        <w:rPr>
          <w:rFonts w:ascii="Arial" w:hAnsi="Arial"/>
          <w:sz w:val="19"/>
          <w:szCs w:val="19"/>
        </w:rPr>
        <w:t>material</w:t>
      </w:r>
      <w:r w:rsidRPr="00924CBB">
        <w:rPr>
          <w:rFonts w:ascii="Arial" w:hAnsi="Arial"/>
          <w:sz w:val="19"/>
          <w:szCs w:val="19"/>
        </w:rPr>
        <w:t xml:space="preserve"> uncertainty </w:t>
      </w:r>
      <w:r w:rsidR="00FB695C" w:rsidRPr="00FB695C">
        <w:rPr>
          <w:rFonts w:ascii="Arial" w:hAnsi="Arial"/>
          <w:sz w:val="19"/>
          <w:szCs w:val="19"/>
        </w:rPr>
        <w:t xml:space="preserve">exists </w:t>
      </w:r>
      <w:r w:rsidRPr="00924CBB">
        <w:rPr>
          <w:rFonts w:ascii="Arial" w:hAnsi="Arial"/>
          <w:sz w:val="19"/>
          <w:szCs w:val="19"/>
        </w:rPr>
        <w:t xml:space="preserve">that may cast significant doubt on the Group’s </w:t>
      </w:r>
      <w:r w:rsidR="00FB695C" w:rsidRPr="00FB695C">
        <w:rPr>
          <w:rFonts w:ascii="Arial" w:hAnsi="Arial"/>
          <w:sz w:val="19"/>
          <w:szCs w:val="19"/>
        </w:rPr>
        <w:t xml:space="preserve">and the Company’s </w:t>
      </w:r>
      <w:r w:rsidRPr="00924CBB">
        <w:rPr>
          <w:rFonts w:ascii="Arial" w:hAnsi="Arial"/>
          <w:sz w:val="19"/>
          <w:szCs w:val="19"/>
        </w:rPr>
        <w:t>ability to continue as a going concern.</w:t>
      </w:r>
    </w:p>
    <w:p w14:paraId="0F81F711" w14:textId="77777777" w:rsidR="000A3A58" w:rsidRPr="00C22014" w:rsidRDefault="000A3A58" w:rsidP="00924CBB">
      <w:pPr>
        <w:pStyle w:val="BodyText"/>
        <w:spacing w:after="0" w:line="360" w:lineRule="auto"/>
        <w:jc w:val="thaiDistribute"/>
        <w:rPr>
          <w:rFonts w:ascii="Arial" w:hAnsi="Arial"/>
          <w:sz w:val="20"/>
        </w:rPr>
      </w:pPr>
    </w:p>
    <w:p w14:paraId="420787EA" w14:textId="77777777" w:rsidR="00A444EC" w:rsidRDefault="00A444EC">
      <w:pPr>
        <w:spacing w:after="0" w:line="240" w:lineRule="auto"/>
        <w:rPr>
          <w:rFonts w:ascii="Arial" w:hAnsi="Arial"/>
          <w:sz w:val="19"/>
          <w:szCs w:val="19"/>
        </w:rPr>
      </w:pPr>
      <w:r>
        <w:rPr>
          <w:rFonts w:ascii="Arial" w:hAnsi="Arial"/>
          <w:sz w:val="19"/>
          <w:szCs w:val="19"/>
        </w:rPr>
        <w:br w:type="page"/>
      </w:r>
    </w:p>
    <w:p w14:paraId="0AC0E65C" w14:textId="0D4F43DE" w:rsidR="00C67B1E" w:rsidRPr="004F103F" w:rsidRDefault="00C67B1E" w:rsidP="004F103F">
      <w:pPr>
        <w:pStyle w:val="BodyText"/>
        <w:spacing w:after="0" w:line="360" w:lineRule="auto"/>
        <w:jc w:val="thaiDistribute"/>
        <w:rPr>
          <w:rFonts w:ascii="Arial" w:hAnsi="Arial"/>
          <w:sz w:val="19"/>
          <w:szCs w:val="19"/>
        </w:rPr>
      </w:pPr>
      <w:r w:rsidRPr="004F103F">
        <w:rPr>
          <w:rFonts w:ascii="Arial" w:hAnsi="Arial"/>
          <w:sz w:val="19"/>
          <w:szCs w:val="19"/>
        </w:rPr>
        <w:lastRenderedPageBreak/>
        <w:t>Despite the existence of material uncertainty, management has considered the current conditions and circumstances, including the absence of any indication from the lending institutions that they intend to exercise their rights arising from the breaches of loan covenants. Accordingly, management believes that the use of the going</w:t>
      </w:r>
      <w:r w:rsidR="003F7465">
        <w:rPr>
          <w:rFonts w:ascii="Arial" w:hAnsi="Arial" w:cstheme="minorBidi" w:hint="cs"/>
          <w:sz w:val="19"/>
          <w:szCs w:val="24"/>
          <w:cs/>
          <w:lang w:bidi="th-TH"/>
        </w:rPr>
        <w:t xml:space="preserve"> </w:t>
      </w:r>
      <w:r w:rsidRPr="004F103F">
        <w:rPr>
          <w:rFonts w:ascii="Arial" w:hAnsi="Arial"/>
          <w:sz w:val="19"/>
          <w:szCs w:val="19"/>
        </w:rPr>
        <w:t xml:space="preserve">concern basis of accounting in the preparation of the </w:t>
      </w:r>
      <w:r w:rsidR="00A377B3">
        <w:rPr>
          <w:rFonts w:ascii="Arial" w:hAnsi="Arial"/>
          <w:sz w:val="19"/>
          <w:szCs w:val="19"/>
        </w:rPr>
        <w:t xml:space="preserve">interim </w:t>
      </w:r>
      <w:r w:rsidRPr="004F103F">
        <w:rPr>
          <w:rFonts w:ascii="Arial" w:hAnsi="Arial"/>
          <w:sz w:val="19"/>
          <w:szCs w:val="19"/>
        </w:rPr>
        <w:t xml:space="preserve">financial </w:t>
      </w:r>
      <w:r w:rsidR="00A377B3">
        <w:rPr>
          <w:rFonts w:ascii="Arial" w:hAnsi="Arial"/>
          <w:sz w:val="19"/>
          <w:szCs w:val="19"/>
        </w:rPr>
        <w:t>information</w:t>
      </w:r>
      <w:r w:rsidRPr="004F103F">
        <w:rPr>
          <w:rFonts w:ascii="Arial" w:hAnsi="Arial"/>
          <w:sz w:val="19"/>
          <w:szCs w:val="19"/>
        </w:rPr>
        <w:t xml:space="preserve"> remains appropriate.</w:t>
      </w:r>
    </w:p>
    <w:p w14:paraId="41AEE4C9" w14:textId="77777777" w:rsidR="00C67B1E" w:rsidRPr="00C67B1E" w:rsidRDefault="00C67B1E" w:rsidP="00924CBB">
      <w:pPr>
        <w:pStyle w:val="BodyText"/>
        <w:spacing w:after="0" w:line="360" w:lineRule="auto"/>
        <w:jc w:val="thaiDistribute"/>
        <w:rPr>
          <w:rFonts w:ascii="Arial" w:hAnsi="Arial" w:cstheme="minorBidi"/>
          <w:sz w:val="19"/>
          <w:szCs w:val="24"/>
          <w:lang w:val="en-US" w:bidi="th-TH"/>
        </w:rPr>
      </w:pPr>
    </w:p>
    <w:p w14:paraId="147A4815" w14:textId="1DF7ACDA" w:rsidR="00F91849" w:rsidRPr="00924CBB" w:rsidRDefault="00F91849" w:rsidP="00924CBB">
      <w:pPr>
        <w:pStyle w:val="BodyText"/>
        <w:spacing w:after="0" w:line="360" w:lineRule="auto"/>
        <w:jc w:val="thaiDistribute"/>
        <w:rPr>
          <w:rFonts w:ascii="Arial" w:hAnsi="Arial"/>
          <w:sz w:val="19"/>
          <w:szCs w:val="19"/>
        </w:rPr>
      </w:pPr>
      <w:r w:rsidRPr="00924CBB">
        <w:rPr>
          <w:rFonts w:ascii="Arial" w:hAnsi="Arial"/>
          <w:sz w:val="19"/>
          <w:szCs w:val="19"/>
        </w:rPr>
        <w:t>My conclusion is not modified in respect of these matters.</w:t>
      </w:r>
    </w:p>
    <w:p w14:paraId="11806D6F" w14:textId="77777777" w:rsidR="00F91849" w:rsidRPr="00924CBB" w:rsidRDefault="00F91849" w:rsidP="00924CBB">
      <w:pPr>
        <w:pStyle w:val="BodyText"/>
        <w:spacing w:after="0" w:line="360" w:lineRule="auto"/>
        <w:jc w:val="thaiDistribute"/>
        <w:rPr>
          <w:rFonts w:ascii="Arial" w:hAnsi="Arial"/>
          <w:sz w:val="19"/>
          <w:szCs w:val="19"/>
        </w:rPr>
      </w:pPr>
    </w:p>
    <w:p w14:paraId="005AC6EA" w14:textId="77777777" w:rsidR="006D7588" w:rsidRDefault="006D7588" w:rsidP="00D35E12">
      <w:pPr>
        <w:spacing w:after="0" w:line="360" w:lineRule="auto"/>
        <w:jc w:val="thaiDistribute"/>
        <w:rPr>
          <w:rFonts w:ascii="Arial" w:hAnsi="Arial"/>
          <w:b/>
          <w:bCs/>
          <w:sz w:val="16"/>
          <w:szCs w:val="16"/>
        </w:rPr>
      </w:pPr>
    </w:p>
    <w:p w14:paraId="15087320" w14:textId="77777777" w:rsidR="006D7588" w:rsidRDefault="006D7588" w:rsidP="00D35E12">
      <w:pPr>
        <w:spacing w:after="0" w:line="360" w:lineRule="auto"/>
        <w:jc w:val="thaiDistribute"/>
        <w:rPr>
          <w:rFonts w:ascii="Arial" w:hAnsi="Arial"/>
          <w:b/>
          <w:bCs/>
          <w:sz w:val="16"/>
          <w:szCs w:val="16"/>
        </w:rPr>
      </w:pPr>
    </w:p>
    <w:p w14:paraId="3166B8A5" w14:textId="77777777" w:rsidR="00F91849" w:rsidRPr="00E40341" w:rsidRDefault="00F91849" w:rsidP="00D35E12">
      <w:pPr>
        <w:spacing w:after="0" w:line="360" w:lineRule="auto"/>
        <w:jc w:val="thaiDistribute"/>
        <w:rPr>
          <w:rFonts w:ascii="Arial" w:hAnsi="Arial"/>
          <w:b/>
          <w:bCs/>
          <w:sz w:val="16"/>
          <w:szCs w:val="16"/>
        </w:rPr>
      </w:pPr>
    </w:p>
    <w:p w14:paraId="26263D35" w14:textId="33E39D47" w:rsidR="00033DD2" w:rsidRPr="00D35E12" w:rsidRDefault="002A518F" w:rsidP="00D35E12">
      <w:pPr>
        <w:spacing w:after="0" w:line="360" w:lineRule="auto"/>
        <w:jc w:val="thaiDistribute"/>
        <w:rPr>
          <w:rFonts w:ascii="Arial" w:hAnsi="Arial"/>
          <w:b/>
          <w:bCs/>
          <w:sz w:val="19"/>
          <w:szCs w:val="19"/>
        </w:rPr>
      </w:pPr>
      <w:r w:rsidRPr="00A109D2">
        <w:rPr>
          <w:rFonts w:ascii="Arial" w:hAnsi="Arial"/>
          <w:b/>
          <w:bCs/>
          <w:sz w:val="19"/>
          <w:szCs w:val="19"/>
        </w:rPr>
        <w:t>Saranya Akharamahaphanit</w:t>
      </w:r>
    </w:p>
    <w:p w14:paraId="2406D79F" w14:textId="77777777" w:rsidR="00033DD2" w:rsidRPr="00D35E12" w:rsidRDefault="00033DD2" w:rsidP="00D35E12">
      <w:pPr>
        <w:spacing w:after="0" w:line="360" w:lineRule="auto"/>
        <w:jc w:val="thaiDistribute"/>
        <w:rPr>
          <w:rFonts w:ascii="Arial" w:hAnsi="Arial"/>
          <w:sz w:val="19"/>
          <w:szCs w:val="19"/>
          <w:rtl/>
          <w:cs/>
        </w:rPr>
      </w:pPr>
      <w:r w:rsidRPr="00D35E12">
        <w:rPr>
          <w:rFonts w:ascii="Arial" w:hAnsi="Arial"/>
          <w:sz w:val="19"/>
          <w:szCs w:val="19"/>
        </w:rPr>
        <w:t>Certified Public Accountant</w:t>
      </w:r>
    </w:p>
    <w:p w14:paraId="358ABF89" w14:textId="1416AE31" w:rsidR="00033DD2" w:rsidRPr="00D35E12" w:rsidRDefault="00033DD2" w:rsidP="00D35E12">
      <w:pPr>
        <w:spacing w:after="0" w:line="360" w:lineRule="auto"/>
        <w:jc w:val="thaiDistribute"/>
        <w:rPr>
          <w:rFonts w:ascii="Arial" w:hAnsi="Arial"/>
          <w:sz w:val="19"/>
          <w:szCs w:val="19"/>
        </w:rPr>
      </w:pPr>
      <w:r w:rsidRPr="00D35E12">
        <w:rPr>
          <w:rFonts w:ascii="Arial" w:hAnsi="Arial"/>
          <w:sz w:val="19"/>
          <w:szCs w:val="19"/>
        </w:rPr>
        <w:t xml:space="preserve">Registration No. </w:t>
      </w:r>
      <w:r w:rsidR="005046F9" w:rsidRPr="00A109D2">
        <w:rPr>
          <w:rFonts w:ascii="Arial" w:hAnsi="Arial"/>
          <w:sz w:val="19"/>
          <w:szCs w:val="19"/>
        </w:rPr>
        <w:t>9919</w:t>
      </w:r>
    </w:p>
    <w:p w14:paraId="26E2BD44" w14:textId="77777777" w:rsidR="00033DD2" w:rsidRPr="006D7588" w:rsidRDefault="00033DD2" w:rsidP="00D35E12">
      <w:pPr>
        <w:spacing w:after="0" w:line="360" w:lineRule="auto"/>
        <w:jc w:val="thaiDistribute"/>
        <w:rPr>
          <w:rFonts w:ascii="Arial" w:hAnsi="Arial"/>
          <w:sz w:val="19"/>
          <w:szCs w:val="19"/>
        </w:rPr>
      </w:pPr>
    </w:p>
    <w:p w14:paraId="6383B304" w14:textId="77777777" w:rsidR="006635F3" w:rsidRPr="00D35E12" w:rsidRDefault="006635F3" w:rsidP="00D35E12">
      <w:pPr>
        <w:pStyle w:val="RNormal"/>
        <w:spacing w:line="360" w:lineRule="auto"/>
        <w:rPr>
          <w:rFonts w:ascii="Arial" w:hAnsi="Arial" w:cs="Arial"/>
          <w:sz w:val="19"/>
          <w:szCs w:val="19"/>
        </w:rPr>
      </w:pPr>
      <w:r w:rsidRPr="00D35E12">
        <w:rPr>
          <w:rFonts w:ascii="Arial" w:hAnsi="Arial" w:cs="Arial"/>
          <w:sz w:val="19"/>
          <w:szCs w:val="19"/>
        </w:rPr>
        <w:t>Grant Thornton Limited</w:t>
      </w:r>
    </w:p>
    <w:p w14:paraId="4E778E13" w14:textId="77777777" w:rsidR="00033DD2" w:rsidRPr="00A52190" w:rsidRDefault="008534F8" w:rsidP="00D35E12">
      <w:pPr>
        <w:spacing w:after="0" w:line="360" w:lineRule="auto"/>
        <w:jc w:val="thaiDistribute"/>
        <w:rPr>
          <w:rFonts w:ascii="Arial" w:hAnsi="Arial"/>
          <w:sz w:val="19"/>
          <w:szCs w:val="19"/>
          <w:rtl/>
          <w:cs/>
        </w:rPr>
      </w:pPr>
      <w:r w:rsidRPr="00A52190">
        <w:rPr>
          <w:rFonts w:ascii="Arial" w:hAnsi="Arial"/>
          <w:sz w:val="19"/>
          <w:szCs w:val="19"/>
        </w:rPr>
        <w:t>Bangkok</w:t>
      </w:r>
    </w:p>
    <w:p w14:paraId="0FE3840C" w14:textId="369A0CA5" w:rsidR="00963958" w:rsidRPr="00C003E6" w:rsidRDefault="00B13EE0" w:rsidP="00963958">
      <w:pPr>
        <w:pStyle w:val="BodyText"/>
        <w:rPr>
          <w:rFonts w:ascii="Arial" w:hAnsi="Arial" w:cs="Browallia New"/>
          <w:sz w:val="19"/>
          <w:szCs w:val="24"/>
          <w:lang w:bidi="th-TH"/>
        </w:rPr>
      </w:pPr>
      <w:r w:rsidRPr="00B13EE0">
        <w:rPr>
          <w:rFonts w:ascii="Arial" w:hAnsi="Arial" w:cs="Browallia New"/>
          <w:sz w:val="19"/>
          <w:szCs w:val="24"/>
          <w:lang w:val="en-US" w:bidi="th-TH"/>
        </w:rPr>
        <w:t>13</w:t>
      </w:r>
      <w:r w:rsidR="001F4D13" w:rsidRPr="00B13EE0">
        <w:rPr>
          <w:rFonts w:ascii="Arial" w:hAnsi="Arial" w:cs="Browallia New"/>
          <w:sz w:val="19"/>
          <w:szCs w:val="24"/>
          <w:lang w:val="en-US" w:bidi="th-TH"/>
        </w:rPr>
        <w:t xml:space="preserve"> August</w:t>
      </w:r>
      <w:r w:rsidR="000A3A58" w:rsidRPr="00B13EE0">
        <w:rPr>
          <w:rFonts w:ascii="Arial" w:hAnsi="Arial" w:cs="Browallia New"/>
          <w:sz w:val="19"/>
          <w:szCs w:val="24"/>
          <w:lang w:val="en-US" w:bidi="th-TH"/>
        </w:rPr>
        <w:t xml:space="preserve"> 2026</w:t>
      </w:r>
    </w:p>
    <w:sectPr w:rsidR="00963958" w:rsidRPr="00C003E6" w:rsidSect="002559AC">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07CD3" w14:textId="77777777" w:rsidR="00390844" w:rsidRDefault="00390844">
      <w:r>
        <w:separator/>
      </w:r>
    </w:p>
  </w:endnote>
  <w:endnote w:type="continuationSeparator" w:id="0">
    <w:p w14:paraId="72093EAA" w14:textId="77777777" w:rsidR="00390844" w:rsidRDefault="00390844">
      <w:r>
        <w:continuationSeparator/>
      </w:r>
    </w:p>
  </w:endnote>
  <w:endnote w:type="continuationNotice" w:id="1">
    <w:p w14:paraId="4B5A5B6D" w14:textId="77777777" w:rsidR="00390844" w:rsidRDefault="003908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54B23F" w14:textId="77777777" w:rsidR="00390844" w:rsidRDefault="00390844">
      <w:bookmarkStart w:id="0" w:name="_Hlk482348182"/>
      <w:bookmarkEnd w:id="0"/>
      <w:r>
        <w:separator/>
      </w:r>
    </w:p>
  </w:footnote>
  <w:footnote w:type="continuationSeparator" w:id="0">
    <w:p w14:paraId="16C262C0" w14:textId="77777777" w:rsidR="00390844" w:rsidRDefault="00390844">
      <w:r>
        <w:continuationSeparator/>
      </w:r>
    </w:p>
  </w:footnote>
  <w:footnote w:type="continuationNotice" w:id="1">
    <w:p w14:paraId="23B0203B" w14:textId="77777777" w:rsidR="00390844" w:rsidRDefault="0039084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283C9"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5993F" w14:textId="3491BCC3" w:rsidR="00B63D0E" w:rsidRDefault="00B63D0E" w:rsidP="00D96128">
    <w:pPr>
      <w:pStyle w:val="Header"/>
      <w:jc w:val="right"/>
    </w:pPr>
  </w:p>
  <w:p w14:paraId="67D4EDE3"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C8835" w14:textId="77777777" w:rsidR="00D15EA5" w:rsidRDefault="00D15EA5" w:rsidP="00D15EA5">
    <w:pPr>
      <w:pStyle w:val="Header"/>
      <w:tabs>
        <w:tab w:val="clear" w:pos="8562"/>
        <w:tab w:val="left" w:pos="5328"/>
      </w:tabs>
      <w:spacing w:after="1418"/>
    </w:pPr>
  </w:p>
  <w:p w14:paraId="58FA4FD7" w14:textId="027ECB98" w:rsidR="00D15EA5" w:rsidRPr="006932D7" w:rsidRDefault="006932D7"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AUDITOR’S REPORT ON REVIEW OF </w:t>
    </w:r>
    <w:r w:rsidR="00552729">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00AC155C">
      <w:rPr>
        <w:rFonts w:cs="Browallia New"/>
        <w:color w:val="auto"/>
        <w:sz w:val="28"/>
        <w:szCs w:val="28"/>
        <w:lang w:val="en-US" w:bidi="th-TH"/>
      </w:rPr>
      <w:br/>
    </w:r>
    <w:r w:rsidRPr="00551365">
      <w:rPr>
        <w:rFonts w:cs="Browallia New"/>
        <w:color w:val="auto"/>
        <w:sz w:val="24"/>
        <w:szCs w:val="24"/>
        <w:lang w:val="en-US" w:bidi="th-TH"/>
      </w:rPr>
      <w:t>FINANCIAL INFORMATION</w:t>
    </w:r>
  </w:p>
  <w:p w14:paraId="15D5CE2A" w14:textId="77777777" w:rsidR="00D460E7" w:rsidRDefault="00D460E7" w:rsidP="00D15EA5">
    <w:pPr>
      <w:pStyle w:val="Header"/>
    </w:pPr>
    <w:bookmarkStart w:id="3" w:name="Footer3_tbl"/>
    <w:bookmarkEnd w:id="3"/>
  </w:p>
  <w:p w14:paraId="4652D9AE" w14:textId="1472281B" w:rsidR="00D460E7" w:rsidRPr="0050782C" w:rsidRDefault="00D460E7"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16cid:durableId="1344361525">
    <w:abstractNumId w:val="3"/>
  </w:num>
  <w:num w:numId="2" w16cid:durableId="1943099860">
    <w:abstractNumId w:val="2"/>
  </w:num>
  <w:num w:numId="3" w16cid:durableId="1512065193">
    <w:abstractNumId w:val="1"/>
  </w:num>
  <w:num w:numId="4" w16cid:durableId="667634357">
    <w:abstractNumId w:val="0"/>
  </w:num>
  <w:num w:numId="5" w16cid:durableId="393282500">
    <w:abstractNumId w:val="6"/>
  </w:num>
  <w:num w:numId="6" w16cid:durableId="1924534744">
    <w:abstractNumId w:val="5"/>
  </w:num>
  <w:num w:numId="7" w16cid:durableId="1577396083">
    <w:abstractNumId w:val="10"/>
  </w:num>
  <w:num w:numId="8" w16cid:durableId="1524786894">
    <w:abstractNumId w:val="16"/>
  </w:num>
  <w:num w:numId="9" w16cid:durableId="162475087">
    <w:abstractNumId w:val="5"/>
  </w:num>
  <w:num w:numId="10" w16cid:durableId="1569026193">
    <w:abstractNumId w:val="15"/>
  </w:num>
  <w:num w:numId="11" w16cid:durableId="1812551370">
    <w:abstractNumId w:val="13"/>
  </w:num>
  <w:num w:numId="12" w16cid:durableId="981883303">
    <w:abstractNumId w:val="4"/>
  </w:num>
  <w:num w:numId="13" w16cid:durableId="1158695145">
    <w:abstractNumId w:val="8"/>
  </w:num>
  <w:num w:numId="14" w16cid:durableId="395594719">
    <w:abstractNumId w:val="7"/>
  </w:num>
  <w:num w:numId="15" w16cid:durableId="975916669">
    <w:abstractNumId w:val="8"/>
  </w:num>
  <w:num w:numId="16" w16cid:durableId="2111663694">
    <w:abstractNumId w:val="9"/>
  </w:num>
  <w:num w:numId="17" w16cid:durableId="2035575197">
    <w:abstractNumId w:val="11"/>
  </w:num>
  <w:num w:numId="18" w16cid:durableId="1266619977">
    <w:abstractNumId w:val="15"/>
  </w:num>
  <w:num w:numId="19" w16cid:durableId="658388326">
    <w:abstractNumId w:val="13"/>
  </w:num>
  <w:num w:numId="20" w16cid:durableId="1905607586">
    <w:abstractNumId w:val="4"/>
  </w:num>
  <w:num w:numId="21" w16cid:durableId="1481507678">
    <w:abstractNumId w:val="8"/>
  </w:num>
  <w:num w:numId="22" w16cid:durableId="284124225">
    <w:abstractNumId w:val="7"/>
  </w:num>
  <w:num w:numId="23" w16cid:durableId="805779346">
    <w:abstractNumId w:val="7"/>
  </w:num>
  <w:num w:numId="24" w16cid:durableId="301468687">
    <w:abstractNumId w:val="7"/>
  </w:num>
  <w:num w:numId="25" w16cid:durableId="1111166610">
    <w:abstractNumId w:val="8"/>
  </w:num>
  <w:num w:numId="26" w16cid:durableId="1980186073">
    <w:abstractNumId w:val="8"/>
  </w:num>
  <w:num w:numId="27" w16cid:durableId="1755130223">
    <w:abstractNumId w:val="8"/>
  </w:num>
  <w:num w:numId="28" w16cid:durableId="1218709561">
    <w:abstractNumId w:val="14"/>
  </w:num>
  <w:num w:numId="29" w16cid:durableId="916863076">
    <w:abstractNumId w:val="14"/>
  </w:num>
  <w:num w:numId="30" w16cid:durableId="964773354">
    <w:abstractNumId w:val="14"/>
  </w:num>
  <w:num w:numId="31" w16cid:durableId="1691446241">
    <w:abstractNumId w:val="12"/>
  </w:num>
  <w:num w:numId="32" w16cid:durableId="405735060">
    <w:abstractNumId w:val="12"/>
  </w:num>
  <w:num w:numId="33" w16cid:durableId="424621139">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04F2D"/>
    <w:rsid w:val="0001479E"/>
    <w:rsid w:val="000150EC"/>
    <w:rsid w:val="000162B0"/>
    <w:rsid w:val="00020CEB"/>
    <w:rsid w:val="00022EAB"/>
    <w:rsid w:val="00026AA3"/>
    <w:rsid w:val="0003023B"/>
    <w:rsid w:val="0003082D"/>
    <w:rsid w:val="00031D17"/>
    <w:rsid w:val="000327B2"/>
    <w:rsid w:val="00033DD2"/>
    <w:rsid w:val="00043D1D"/>
    <w:rsid w:val="00044ACE"/>
    <w:rsid w:val="0004550E"/>
    <w:rsid w:val="00046993"/>
    <w:rsid w:val="00051694"/>
    <w:rsid w:val="00051BA5"/>
    <w:rsid w:val="00052614"/>
    <w:rsid w:val="00054E59"/>
    <w:rsid w:val="00054EBB"/>
    <w:rsid w:val="00056F19"/>
    <w:rsid w:val="000615AC"/>
    <w:rsid w:val="000723F7"/>
    <w:rsid w:val="0007331B"/>
    <w:rsid w:val="00074485"/>
    <w:rsid w:val="00082422"/>
    <w:rsid w:val="000828F1"/>
    <w:rsid w:val="00082F59"/>
    <w:rsid w:val="000921F2"/>
    <w:rsid w:val="00094261"/>
    <w:rsid w:val="00094333"/>
    <w:rsid w:val="00095BF7"/>
    <w:rsid w:val="00097FAB"/>
    <w:rsid w:val="000A2639"/>
    <w:rsid w:val="000A2AE9"/>
    <w:rsid w:val="000A3A58"/>
    <w:rsid w:val="000A5FED"/>
    <w:rsid w:val="000B496D"/>
    <w:rsid w:val="000B4FFB"/>
    <w:rsid w:val="000B65E3"/>
    <w:rsid w:val="000B7090"/>
    <w:rsid w:val="000C0A65"/>
    <w:rsid w:val="000C3D19"/>
    <w:rsid w:val="000D1CC8"/>
    <w:rsid w:val="000D2E70"/>
    <w:rsid w:val="000D37BC"/>
    <w:rsid w:val="000D3DD2"/>
    <w:rsid w:val="000D6F43"/>
    <w:rsid w:val="000E52CE"/>
    <w:rsid w:val="000F21C9"/>
    <w:rsid w:val="000F3AAB"/>
    <w:rsid w:val="000F4E00"/>
    <w:rsid w:val="000F6E25"/>
    <w:rsid w:val="000F71B5"/>
    <w:rsid w:val="001011DF"/>
    <w:rsid w:val="001016A6"/>
    <w:rsid w:val="00112B69"/>
    <w:rsid w:val="0011563C"/>
    <w:rsid w:val="00122F4F"/>
    <w:rsid w:val="00125640"/>
    <w:rsid w:val="001261DB"/>
    <w:rsid w:val="001316D3"/>
    <w:rsid w:val="00131918"/>
    <w:rsid w:val="0013689C"/>
    <w:rsid w:val="00140888"/>
    <w:rsid w:val="00142432"/>
    <w:rsid w:val="00143753"/>
    <w:rsid w:val="00146321"/>
    <w:rsid w:val="001554CD"/>
    <w:rsid w:val="00155A91"/>
    <w:rsid w:val="00160CFF"/>
    <w:rsid w:val="001613E2"/>
    <w:rsid w:val="0016459D"/>
    <w:rsid w:val="001647B2"/>
    <w:rsid w:val="001648D4"/>
    <w:rsid w:val="0016505C"/>
    <w:rsid w:val="00167017"/>
    <w:rsid w:val="00167732"/>
    <w:rsid w:val="00181DAF"/>
    <w:rsid w:val="001845E9"/>
    <w:rsid w:val="00191841"/>
    <w:rsid w:val="0019210D"/>
    <w:rsid w:val="00194FD8"/>
    <w:rsid w:val="001976BB"/>
    <w:rsid w:val="00197765"/>
    <w:rsid w:val="001A246C"/>
    <w:rsid w:val="001A3BFB"/>
    <w:rsid w:val="001A3C20"/>
    <w:rsid w:val="001A56F6"/>
    <w:rsid w:val="001A5FBB"/>
    <w:rsid w:val="001B198C"/>
    <w:rsid w:val="001B236A"/>
    <w:rsid w:val="001B3895"/>
    <w:rsid w:val="001B54A6"/>
    <w:rsid w:val="001B7388"/>
    <w:rsid w:val="001C1B20"/>
    <w:rsid w:val="001C5BB5"/>
    <w:rsid w:val="001C5FBB"/>
    <w:rsid w:val="001C6BDD"/>
    <w:rsid w:val="001C7082"/>
    <w:rsid w:val="001D2302"/>
    <w:rsid w:val="001D7BB3"/>
    <w:rsid w:val="001D7ED5"/>
    <w:rsid w:val="001E12A6"/>
    <w:rsid w:val="001E498F"/>
    <w:rsid w:val="001E52F6"/>
    <w:rsid w:val="001F069C"/>
    <w:rsid w:val="001F3000"/>
    <w:rsid w:val="001F4D13"/>
    <w:rsid w:val="001F7CF8"/>
    <w:rsid w:val="00205828"/>
    <w:rsid w:val="00212734"/>
    <w:rsid w:val="002138F5"/>
    <w:rsid w:val="002142E2"/>
    <w:rsid w:val="00214B9D"/>
    <w:rsid w:val="00222F1B"/>
    <w:rsid w:val="0022518C"/>
    <w:rsid w:val="00230A3A"/>
    <w:rsid w:val="0023320A"/>
    <w:rsid w:val="002362D8"/>
    <w:rsid w:val="00237A7E"/>
    <w:rsid w:val="0024137A"/>
    <w:rsid w:val="00241F16"/>
    <w:rsid w:val="00245FB5"/>
    <w:rsid w:val="002478C9"/>
    <w:rsid w:val="00247969"/>
    <w:rsid w:val="00250DA1"/>
    <w:rsid w:val="00252C17"/>
    <w:rsid w:val="00254164"/>
    <w:rsid w:val="00254169"/>
    <w:rsid w:val="002559AC"/>
    <w:rsid w:val="00257677"/>
    <w:rsid w:val="0026182A"/>
    <w:rsid w:val="002619DF"/>
    <w:rsid w:val="0026315B"/>
    <w:rsid w:val="002708E7"/>
    <w:rsid w:val="00272BAB"/>
    <w:rsid w:val="00275FCA"/>
    <w:rsid w:val="00277EBE"/>
    <w:rsid w:val="002838FB"/>
    <w:rsid w:val="00285249"/>
    <w:rsid w:val="00291356"/>
    <w:rsid w:val="002962C5"/>
    <w:rsid w:val="00296576"/>
    <w:rsid w:val="00297842"/>
    <w:rsid w:val="002A252E"/>
    <w:rsid w:val="002A43F1"/>
    <w:rsid w:val="002A518F"/>
    <w:rsid w:val="002A73F4"/>
    <w:rsid w:val="002B294A"/>
    <w:rsid w:val="002B36DE"/>
    <w:rsid w:val="002C137E"/>
    <w:rsid w:val="002C25AA"/>
    <w:rsid w:val="002C623D"/>
    <w:rsid w:val="002D02DF"/>
    <w:rsid w:val="002D292E"/>
    <w:rsid w:val="002D3F80"/>
    <w:rsid w:val="002D470A"/>
    <w:rsid w:val="002D5A0F"/>
    <w:rsid w:val="002D6E25"/>
    <w:rsid w:val="002D7B80"/>
    <w:rsid w:val="002E02F4"/>
    <w:rsid w:val="002E084B"/>
    <w:rsid w:val="002E2C56"/>
    <w:rsid w:val="002E7F1E"/>
    <w:rsid w:val="002F2DEB"/>
    <w:rsid w:val="002F3903"/>
    <w:rsid w:val="002F4A52"/>
    <w:rsid w:val="002F7C5E"/>
    <w:rsid w:val="002F7D90"/>
    <w:rsid w:val="0030026A"/>
    <w:rsid w:val="0030211D"/>
    <w:rsid w:val="00305173"/>
    <w:rsid w:val="00316F6C"/>
    <w:rsid w:val="00321333"/>
    <w:rsid w:val="00321A76"/>
    <w:rsid w:val="003264F3"/>
    <w:rsid w:val="00326E3E"/>
    <w:rsid w:val="00335E5B"/>
    <w:rsid w:val="00341FAB"/>
    <w:rsid w:val="00354E3D"/>
    <w:rsid w:val="00354F5D"/>
    <w:rsid w:val="00355567"/>
    <w:rsid w:val="0036001B"/>
    <w:rsid w:val="00360B0D"/>
    <w:rsid w:val="00365ECE"/>
    <w:rsid w:val="003744DA"/>
    <w:rsid w:val="00377065"/>
    <w:rsid w:val="00380685"/>
    <w:rsid w:val="00380FA7"/>
    <w:rsid w:val="00381BF8"/>
    <w:rsid w:val="00384904"/>
    <w:rsid w:val="003856AF"/>
    <w:rsid w:val="00390844"/>
    <w:rsid w:val="003912E5"/>
    <w:rsid w:val="00393780"/>
    <w:rsid w:val="00394AB2"/>
    <w:rsid w:val="003A03D7"/>
    <w:rsid w:val="003A0DF7"/>
    <w:rsid w:val="003A111C"/>
    <w:rsid w:val="003A7A74"/>
    <w:rsid w:val="003B4CCD"/>
    <w:rsid w:val="003B4DED"/>
    <w:rsid w:val="003B6F14"/>
    <w:rsid w:val="003B7895"/>
    <w:rsid w:val="003C07EE"/>
    <w:rsid w:val="003C12C5"/>
    <w:rsid w:val="003C27EF"/>
    <w:rsid w:val="003C2AD9"/>
    <w:rsid w:val="003C32E9"/>
    <w:rsid w:val="003C3898"/>
    <w:rsid w:val="003C79A5"/>
    <w:rsid w:val="003D0707"/>
    <w:rsid w:val="003D2605"/>
    <w:rsid w:val="003D494A"/>
    <w:rsid w:val="003D61FB"/>
    <w:rsid w:val="003D64D6"/>
    <w:rsid w:val="003D6935"/>
    <w:rsid w:val="003E034A"/>
    <w:rsid w:val="003E1415"/>
    <w:rsid w:val="003E2DCE"/>
    <w:rsid w:val="003E324D"/>
    <w:rsid w:val="003E3E21"/>
    <w:rsid w:val="003F12E1"/>
    <w:rsid w:val="003F4618"/>
    <w:rsid w:val="003F69E0"/>
    <w:rsid w:val="003F7465"/>
    <w:rsid w:val="00403F13"/>
    <w:rsid w:val="004071B5"/>
    <w:rsid w:val="004103FF"/>
    <w:rsid w:val="00413E5B"/>
    <w:rsid w:val="00416281"/>
    <w:rsid w:val="00422353"/>
    <w:rsid w:val="00422D2C"/>
    <w:rsid w:val="00422D45"/>
    <w:rsid w:val="00422E9E"/>
    <w:rsid w:val="004254E4"/>
    <w:rsid w:val="00426915"/>
    <w:rsid w:val="00426D59"/>
    <w:rsid w:val="004273E7"/>
    <w:rsid w:val="00433F63"/>
    <w:rsid w:val="004340B9"/>
    <w:rsid w:val="0043422B"/>
    <w:rsid w:val="00434F99"/>
    <w:rsid w:val="00435788"/>
    <w:rsid w:val="004359E6"/>
    <w:rsid w:val="00436BC6"/>
    <w:rsid w:val="004403F1"/>
    <w:rsid w:val="00443CE3"/>
    <w:rsid w:val="00444692"/>
    <w:rsid w:val="0044603C"/>
    <w:rsid w:val="00452E7B"/>
    <w:rsid w:val="0045332B"/>
    <w:rsid w:val="004546FA"/>
    <w:rsid w:val="00455895"/>
    <w:rsid w:val="00460860"/>
    <w:rsid w:val="00462034"/>
    <w:rsid w:val="00464A40"/>
    <w:rsid w:val="0046575C"/>
    <w:rsid w:val="00466411"/>
    <w:rsid w:val="004708B4"/>
    <w:rsid w:val="00471139"/>
    <w:rsid w:val="00471481"/>
    <w:rsid w:val="00471CE4"/>
    <w:rsid w:val="004768C9"/>
    <w:rsid w:val="00476F8C"/>
    <w:rsid w:val="00481630"/>
    <w:rsid w:val="00481A9D"/>
    <w:rsid w:val="00481FE7"/>
    <w:rsid w:val="0048532C"/>
    <w:rsid w:val="0049103F"/>
    <w:rsid w:val="004933F6"/>
    <w:rsid w:val="00494BAF"/>
    <w:rsid w:val="004A0DFE"/>
    <w:rsid w:val="004A3C62"/>
    <w:rsid w:val="004B32C4"/>
    <w:rsid w:val="004C0971"/>
    <w:rsid w:val="004C0C25"/>
    <w:rsid w:val="004C0CAC"/>
    <w:rsid w:val="004C2111"/>
    <w:rsid w:val="004C2A59"/>
    <w:rsid w:val="004C5E6C"/>
    <w:rsid w:val="004C732E"/>
    <w:rsid w:val="004D20AE"/>
    <w:rsid w:val="004D3578"/>
    <w:rsid w:val="004D39CF"/>
    <w:rsid w:val="004F103F"/>
    <w:rsid w:val="004F1A16"/>
    <w:rsid w:val="004F1AED"/>
    <w:rsid w:val="004F207F"/>
    <w:rsid w:val="004F3FD4"/>
    <w:rsid w:val="004F5D91"/>
    <w:rsid w:val="005002A7"/>
    <w:rsid w:val="005046F9"/>
    <w:rsid w:val="0050709D"/>
    <w:rsid w:val="005070FA"/>
    <w:rsid w:val="00507317"/>
    <w:rsid w:val="0050782C"/>
    <w:rsid w:val="005117E6"/>
    <w:rsid w:val="0051306D"/>
    <w:rsid w:val="00513A3C"/>
    <w:rsid w:val="00517083"/>
    <w:rsid w:val="0052186A"/>
    <w:rsid w:val="00522633"/>
    <w:rsid w:val="00527A0B"/>
    <w:rsid w:val="00527ACE"/>
    <w:rsid w:val="00527E23"/>
    <w:rsid w:val="00531C25"/>
    <w:rsid w:val="005321DA"/>
    <w:rsid w:val="00533C6E"/>
    <w:rsid w:val="005352E2"/>
    <w:rsid w:val="00535A0A"/>
    <w:rsid w:val="0053655B"/>
    <w:rsid w:val="00536C51"/>
    <w:rsid w:val="005375AC"/>
    <w:rsid w:val="0054013C"/>
    <w:rsid w:val="00542B8A"/>
    <w:rsid w:val="0054381E"/>
    <w:rsid w:val="00543DC9"/>
    <w:rsid w:val="005453E7"/>
    <w:rsid w:val="00547541"/>
    <w:rsid w:val="00551365"/>
    <w:rsid w:val="0055164B"/>
    <w:rsid w:val="00552729"/>
    <w:rsid w:val="005627FF"/>
    <w:rsid w:val="00567F8B"/>
    <w:rsid w:val="00571393"/>
    <w:rsid w:val="00571910"/>
    <w:rsid w:val="0057351E"/>
    <w:rsid w:val="00577B1E"/>
    <w:rsid w:val="00577D61"/>
    <w:rsid w:val="005800DF"/>
    <w:rsid w:val="005822AC"/>
    <w:rsid w:val="0058321F"/>
    <w:rsid w:val="00587791"/>
    <w:rsid w:val="005910D7"/>
    <w:rsid w:val="00593EC3"/>
    <w:rsid w:val="005A4421"/>
    <w:rsid w:val="005A4862"/>
    <w:rsid w:val="005A675F"/>
    <w:rsid w:val="005B405A"/>
    <w:rsid w:val="005B4E64"/>
    <w:rsid w:val="005C2CCB"/>
    <w:rsid w:val="005C6479"/>
    <w:rsid w:val="005C6559"/>
    <w:rsid w:val="005C69FD"/>
    <w:rsid w:val="005D1324"/>
    <w:rsid w:val="005D17B0"/>
    <w:rsid w:val="005D7025"/>
    <w:rsid w:val="005E2D67"/>
    <w:rsid w:val="005E5578"/>
    <w:rsid w:val="005F3DBC"/>
    <w:rsid w:val="005F4D62"/>
    <w:rsid w:val="005F56C8"/>
    <w:rsid w:val="005F6973"/>
    <w:rsid w:val="005F6E6A"/>
    <w:rsid w:val="0060149A"/>
    <w:rsid w:val="00606541"/>
    <w:rsid w:val="0060710E"/>
    <w:rsid w:val="00610ED7"/>
    <w:rsid w:val="00620CE3"/>
    <w:rsid w:val="00621086"/>
    <w:rsid w:val="0062775E"/>
    <w:rsid w:val="0063224A"/>
    <w:rsid w:val="006365A1"/>
    <w:rsid w:val="00636AA2"/>
    <w:rsid w:val="0063706A"/>
    <w:rsid w:val="00640E81"/>
    <w:rsid w:val="00642BFD"/>
    <w:rsid w:val="00655DDC"/>
    <w:rsid w:val="00656078"/>
    <w:rsid w:val="006635F3"/>
    <w:rsid w:val="00665958"/>
    <w:rsid w:val="00666764"/>
    <w:rsid w:val="0066694B"/>
    <w:rsid w:val="00667DB6"/>
    <w:rsid w:val="006771E8"/>
    <w:rsid w:val="00677C01"/>
    <w:rsid w:val="00683CC7"/>
    <w:rsid w:val="00692CA5"/>
    <w:rsid w:val="006932D7"/>
    <w:rsid w:val="00693A4D"/>
    <w:rsid w:val="00693DD6"/>
    <w:rsid w:val="00694266"/>
    <w:rsid w:val="006A118A"/>
    <w:rsid w:val="006B06A2"/>
    <w:rsid w:val="006B5A23"/>
    <w:rsid w:val="006C3D37"/>
    <w:rsid w:val="006C6376"/>
    <w:rsid w:val="006D5444"/>
    <w:rsid w:val="006D6FF5"/>
    <w:rsid w:val="006D7588"/>
    <w:rsid w:val="006E08F3"/>
    <w:rsid w:val="006E128C"/>
    <w:rsid w:val="006E4B65"/>
    <w:rsid w:val="006F1B19"/>
    <w:rsid w:val="006F29ED"/>
    <w:rsid w:val="006F3E29"/>
    <w:rsid w:val="006F4F77"/>
    <w:rsid w:val="006F7E16"/>
    <w:rsid w:val="0070147C"/>
    <w:rsid w:val="00703070"/>
    <w:rsid w:val="0071001A"/>
    <w:rsid w:val="00710378"/>
    <w:rsid w:val="00714FD6"/>
    <w:rsid w:val="00724509"/>
    <w:rsid w:val="007265F7"/>
    <w:rsid w:val="0073084B"/>
    <w:rsid w:val="00731894"/>
    <w:rsid w:val="007331C2"/>
    <w:rsid w:val="00733488"/>
    <w:rsid w:val="00733FB6"/>
    <w:rsid w:val="00737506"/>
    <w:rsid w:val="00741488"/>
    <w:rsid w:val="00742AF0"/>
    <w:rsid w:val="00745609"/>
    <w:rsid w:val="00745E7E"/>
    <w:rsid w:val="00746356"/>
    <w:rsid w:val="00746796"/>
    <w:rsid w:val="00746D91"/>
    <w:rsid w:val="00747686"/>
    <w:rsid w:val="00751FC1"/>
    <w:rsid w:val="0075598A"/>
    <w:rsid w:val="00755ECD"/>
    <w:rsid w:val="007569F4"/>
    <w:rsid w:val="00761097"/>
    <w:rsid w:val="00761813"/>
    <w:rsid w:val="00761EEB"/>
    <w:rsid w:val="00763570"/>
    <w:rsid w:val="00766E4E"/>
    <w:rsid w:val="00767416"/>
    <w:rsid w:val="00771B85"/>
    <w:rsid w:val="00775DA6"/>
    <w:rsid w:val="007775FC"/>
    <w:rsid w:val="0078044B"/>
    <w:rsid w:val="0078170A"/>
    <w:rsid w:val="00787268"/>
    <w:rsid w:val="00790956"/>
    <w:rsid w:val="00790B7C"/>
    <w:rsid w:val="007927E8"/>
    <w:rsid w:val="0079502D"/>
    <w:rsid w:val="007A0755"/>
    <w:rsid w:val="007A0E92"/>
    <w:rsid w:val="007A31D9"/>
    <w:rsid w:val="007A5720"/>
    <w:rsid w:val="007A74F9"/>
    <w:rsid w:val="007B0B5B"/>
    <w:rsid w:val="007B5588"/>
    <w:rsid w:val="007B7F94"/>
    <w:rsid w:val="007C43FB"/>
    <w:rsid w:val="007D41A1"/>
    <w:rsid w:val="007D4387"/>
    <w:rsid w:val="007D55B1"/>
    <w:rsid w:val="007E05E1"/>
    <w:rsid w:val="007E0D5A"/>
    <w:rsid w:val="007E28FA"/>
    <w:rsid w:val="007F1F67"/>
    <w:rsid w:val="007F7B41"/>
    <w:rsid w:val="007F7C1F"/>
    <w:rsid w:val="0080245A"/>
    <w:rsid w:val="008033D0"/>
    <w:rsid w:val="00803576"/>
    <w:rsid w:val="00803FB6"/>
    <w:rsid w:val="008059EF"/>
    <w:rsid w:val="0080666E"/>
    <w:rsid w:val="008119D2"/>
    <w:rsid w:val="008128F7"/>
    <w:rsid w:val="00812938"/>
    <w:rsid w:val="00815E98"/>
    <w:rsid w:val="00823EEB"/>
    <w:rsid w:val="00824096"/>
    <w:rsid w:val="00826A69"/>
    <w:rsid w:val="00827B71"/>
    <w:rsid w:val="00830DAC"/>
    <w:rsid w:val="00831251"/>
    <w:rsid w:val="0083134C"/>
    <w:rsid w:val="00832F51"/>
    <w:rsid w:val="00843100"/>
    <w:rsid w:val="008440BC"/>
    <w:rsid w:val="00844CDC"/>
    <w:rsid w:val="008461C3"/>
    <w:rsid w:val="00847054"/>
    <w:rsid w:val="00850F25"/>
    <w:rsid w:val="00852914"/>
    <w:rsid w:val="008534AA"/>
    <w:rsid w:val="008534F8"/>
    <w:rsid w:val="00853F92"/>
    <w:rsid w:val="0085428E"/>
    <w:rsid w:val="00857FCE"/>
    <w:rsid w:val="00865B53"/>
    <w:rsid w:val="00870396"/>
    <w:rsid w:val="008719C2"/>
    <w:rsid w:val="00872635"/>
    <w:rsid w:val="00874243"/>
    <w:rsid w:val="00880B22"/>
    <w:rsid w:val="00884189"/>
    <w:rsid w:val="00884FF7"/>
    <w:rsid w:val="00890FF1"/>
    <w:rsid w:val="00893E22"/>
    <w:rsid w:val="00894ACE"/>
    <w:rsid w:val="008967DA"/>
    <w:rsid w:val="00897D7C"/>
    <w:rsid w:val="008A0C06"/>
    <w:rsid w:val="008A3842"/>
    <w:rsid w:val="008A7A08"/>
    <w:rsid w:val="008B0731"/>
    <w:rsid w:val="008B19D9"/>
    <w:rsid w:val="008B1FD3"/>
    <w:rsid w:val="008B204B"/>
    <w:rsid w:val="008B4376"/>
    <w:rsid w:val="008C23E0"/>
    <w:rsid w:val="008C2ACB"/>
    <w:rsid w:val="008C49AE"/>
    <w:rsid w:val="008C59F7"/>
    <w:rsid w:val="008D2AF2"/>
    <w:rsid w:val="008D3D24"/>
    <w:rsid w:val="008D3F77"/>
    <w:rsid w:val="008D4F29"/>
    <w:rsid w:val="008D7C54"/>
    <w:rsid w:val="008E04D4"/>
    <w:rsid w:val="008E6BD0"/>
    <w:rsid w:val="008E7687"/>
    <w:rsid w:val="008F0E3C"/>
    <w:rsid w:val="008F11FA"/>
    <w:rsid w:val="008F33AE"/>
    <w:rsid w:val="008F4ACA"/>
    <w:rsid w:val="008F5F27"/>
    <w:rsid w:val="00901F39"/>
    <w:rsid w:val="00905FE3"/>
    <w:rsid w:val="00906097"/>
    <w:rsid w:val="00907D26"/>
    <w:rsid w:val="009123CF"/>
    <w:rsid w:val="00912F98"/>
    <w:rsid w:val="009176C7"/>
    <w:rsid w:val="00917FBB"/>
    <w:rsid w:val="00917FD7"/>
    <w:rsid w:val="009219CA"/>
    <w:rsid w:val="009223D3"/>
    <w:rsid w:val="00924CBB"/>
    <w:rsid w:val="00927E89"/>
    <w:rsid w:val="00930551"/>
    <w:rsid w:val="00930FD6"/>
    <w:rsid w:val="00931D7A"/>
    <w:rsid w:val="009346B6"/>
    <w:rsid w:val="00935D8D"/>
    <w:rsid w:val="009418D2"/>
    <w:rsid w:val="00942FE8"/>
    <w:rsid w:val="009534C6"/>
    <w:rsid w:val="00957E70"/>
    <w:rsid w:val="00963958"/>
    <w:rsid w:val="00967E50"/>
    <w:rsid w:val="00970DAB"/>
    <w:rsid w:val="009713A7"/>
    <w:rsid w:val="009719D5"/>
    <w:rsid w:val="00972E75"/>
    <w:rsid w:val="0097321D"/>
    <w:rsid w:val="00977C19"/>
    <w:rsid w:val="009813D8"/>
    <w:rsid w:val="00984400"/>
    <w:rsid w:val="00986DBB"/>
    <w:rsid w:val="00992531"/>
    <w:rsid w:val="009950A0"/>
    <w:rsid w:val="00995CD5"/>
    <w:rsid w:val="009A1787"/>
    <w:rsid w:val="009A3DA5"/>
    <w:rsid w:val="009A4474"/>
    <w:rsid w:val="009A4F5A"/>
    <w:rsid w:val="009A5E39"/>
    <w:rsid w:val="009B0C28"/>
    <w:rsid w:val="009B1605"/>
    <w:rsid w:val="009B1F44"/>
    <w:rsid w:val="009B2584"/>
    <w:rsid w:val="009B3915"/>
    <w:rsid w:val="009B4573"/>
    <w:rsid w:val="009B4B64"/>
    <w:rsid w:val="009B545D"/>
    <w:rsid w:val="009B65F3"/>
    <w:rsid w:val="009C002A"/>
    <w:rsid w:val="009C1062"/>
    <w:rsid w:val="009C2D70"/>
    <w:rsid w:val="009C42B6"/>
    <w:rsid w:val="009D23D8"/>
    <w:rsid w:val="009D617A"/>
    <w:rsid w:val="009D74EA"/>
    <w:rsid w:val="009E278C"/>
    <w:rsid w:val="009E68DE"/>
    <w:rsid w:val="009E74E1"/>
    <w:rsid w:val="009F0041"/>
    <w:rsid w:val="009F4C7B"/>
    <w:rsid w:val="009F6B10"/>
    <w:rsid w:val="009F6EDC"/>
    <w:rsid w:val="00A0066A"/>
    <w:rsid w:val="00A01742"/>
    <w:rsid w:val="00A0276B"/>
    <w:rsid w:val="00A035CE"/>
    <w:rsid w:val="00A0537F"/>
    <w:rsid w:val="00A0602E"/>
    <w:rsid w:val="00A06C1F"/>
    <w:rsid w:val="00A07FFA"/>
    <w:rsid w:val="00A11FB4"/>
    <w:rsid w:val="00A1550B"/>
    <w:rsid w:val="00A16103"/>
    <w:rsid w:val="00A1717F"/>
    <w:rsid w:val="00A32C56"/>
    <w:rsid w:val="00A35782"/>
    <w:rsid w:val="00A362F9"/>
    <w:rsid w:val="00A377B3"/>
    <w:rsid w:val="00A4154F"/>
    <w:rsid w:val="00A43534"/>
    <w:rsid w:val="00A43EE6"/>
    <w:rsid w:val="00A444EC"/>
    <w:rsid w:val="00A477A0"/>
    <w:rsid w:val="00A47CCA"/>
    <w:rsid w:val="00A52190"/>
    <w:rsid w:val="00A60F49"/>
    <w:rsid w:val="00A61E15"/>
    <w:rsid w:val="00A620CB"/>
    <w:rsid w:val="00A66F91"/>
    <w:rsid w:val="00A70229"/>
    <w:rsid w:val="00A70F81"/>
    <w:rsid w:val="00A76441"/>
    <w:rsid w:val="00A76BEB"/>
    <w:rsid w:val="00A84270"/>
    <w:rsid w:val="00A87C6C"/>
    <w:rsid w:val="00A918D1"/>
    <w:rsid w:val="00A93309"/>
    <w:rsid w:val="00A93A9A"/>
    <w:rsid w:val="00AA0BAF"/>
    <w:rsid w:val="00AA1E8D"/>
    <w:rsid w:val="00AA375B"/>
    <w:rsid w:val="00AA389B"/>
    <w:rsid w:val="00AA5C16"/>
    <w:rsid w:val="00AA64C3"/>
    <w:rsid w:val="00AA677D"/>
    <w:rsid w:val="00AB1667"/>
    <w:rsid w:val="00AB398D"/>
    <w:rsid w:val="00AB5E76"/>
    <w:rsid w:val="00AB7231"/>
    <w:rsid w:val="00AC0C2E"/>
    <w:rsid w:val="00AC155C"/>
    <w:rsid w:val="00AC31D4"/>
    <w:rsid w:val="00AC3A6B"/>
    <w:rsid w:val="00AC6098"/>
    <w:rsid w:val="00AC6C75"/>
    <w:rsid w:val="00AD04FD"/>
    <w:rsid w:val="00AD19B6"/>
    <w:rsid w:val="00AD2441"/>
    <w:rsid w:val="00AE0A40"/>
    <w:rsid w:val="00AE2BF6"/>
    <w:rsid w:val="00AE3370"/>
    <w:rsid w:val="00AE64CA"/>
    <w:rsid w:val="00AF7092"/>
    <w:rsid w:val="00AF791B"/>
    <w:rsid w:val="00B004AB"/>
    <w:rsid w:val="00B02339"/>
    <w:rsid w:val="00B02B85"/>
    <w:rsid w:val="00B04C55"/>
    <w:rsid w:val="00B10C94"/>
    <w:rsid w:val="00B1324D"/>
    <w:rsid w:val="00B13EE0"/>
    <w:rsid w:val="00B157E2"/>
    <w:rsid w:val="00B16278"/>
    <w:rsid w:val="00B21241"/>
    <w:rsid w:val="00B24A45"/>
    <w:rsid w:val="00B25B92"/>
    <w:rsid w:val="00B26948"/>
    <w:rsid w:val="00B34504"/>
    <w:rsid w:val="00B34D51"/>
    <w:rsid w:val="00B36A0E"/>
    <w:rsid w:val="00B36BA1"/>
    <w:rsid w:val="00B376DA"/>
    <w:rsid w:val="00B379C5"/>
    <w:rsid w:val="00B40D67"/>
    <w:rsid w:val="00B43C45"/>
    <w:rsid w:val="00B45FB7"/>
    <w:rsid w:val="00B46CF5"/>
    <w:rsid w:val="00B519BF"/>
    <w:rsid w:val="00B55EE8"/>
    <w:rsid w:val="00B56E6C"/>
    <w:rsid w:val="00B61CBE"/>
    <w:rsid w:val="00B63D0E"/>
    <w:rsid w:val="00B7209E"/>
    <w:rsid w:val="00B83039"/>
    <w:rsid w:val="00B83548"/>
    <w:rsid w:val="00B90E2D"/>
    <w:rsid w:val="00B9173B"/>
    <w:rsid w:val="00B926C3"/>
    <w:rsid w:val="00B93F4A"/>
    <w:rsid w:val="00BA4610"/>
    <w:rsid w:val="00BA5B00"/>
    <w:rsid w:val="00BB1A07"/>
    <w:rsid w:val="00BB6DAD"/>
    <w:rsid w:val="00BB7152"/>
    <w:rsid w:val="00BB7346"/>
    <w:rsid w:val="00BC1555"/>
    <w:rsid w:val="00BC60A9"/>
    <w:rsid w:val="00BC66F0"/>
    <w:rsid w:val="00BD5274"/>
    <w:rsid w:val="00BD742F"/>
    <w:rsid w:val="00BE0C8A"/>
    <w:rsid w:val="00BE2505"/>
    <w:rsid w:val="00BE334D"/>
    <w:rsid w:val="00BE484C"/>
    <w:rsid w:val="00BE4988"/>
    <w:rsid w:val="00BE5194"/>
    <w:rsid w:val="00BE55C5"/>
    <w:rsid w:val="00BF0A24"/>
    <w:rsid w:val="00BF1C24"/>
    <w:rsid w:val="00BF1E2D"/>
    <w:rsid w:val="00BF2B91"/>
    <w:rsid w:val="00BF5E73"/>
    <w:rsid w:val="00C00DA9"/>
    <w:rsid w:val="00C03187"/>
    <w:rsid w:val="00C050FF"/>
    <w:rsid w:val="00C05C89"/>
    <w:rsid w:val="00C06686"/>
    <w:rsid w:val="00C06939"/>
    <w:rsid w:val="00C130E3"/>
    <w:rsid w:val="00C134AA"/>
    <w:rsid w:val="00C14B29"/>
    <w:rsid w:val="00C1675F"/>
    <w:rsid w:val="00C17D0D"/>
    <w:rsid w:val="00C21055"/>
    <w:rsid w:val="00C21E3B"/>
    <w:rsid w:val="00C22014"/>
    <w:rsid w:val="00C25035"/>
    <w:rsid w:val="00C256BC"/>
    <w:rsid w:val="00C2753B"/>
    <w:rsid w:val="00C27881"/>
    <w:rsid w:val="00C309C8"/>
    <w:rsid w:val="00C33812"/>
    <w:rsid w:val="00C35B1A"/>
    <w:rsid w:val="00C36B3E"/>
    <w:rsid w:val="00C400C6"/>
    <w:rsid w:val="00C41C7D"/>
    <w:rsid w:val="00C41DFA"/>
    <w:rsid w:val="00C42290"/>
    <w:rsid w:val="00C63023"/>
    <w:rsid w:val="00C63743"/>
    <w:rsid w:val="00C67B1E"/>
    <w:rsid w:val="00C73C79"/>
    <w:rsid w:val="00C74D36"/>
    <w:rsid w:val="00C76C6C"/>
    <w:rsid w:val="00C80EC5"/>
    <w:rsid w:val="00C82C58"/>
    <w:rsid w:val="00C86BB9"/>
    <w:rsid w:val="00C8772C"/>
    <w:rsid w:val="00C950FE"/>
    <w:rsid w:val="00C9576E"/>
    <w:rsid w:val="00C9774B"/>
    <w:rsid w:val="00CA10F4"/>
    <w:rsid w:val="00CA1C41"/>
    <w:rsid w:val="00CA43FD"/>
    <w:rsid w:val="00CA5838"/>
    <w:rsid w:val="00CB1402"/>
    <w:rsid w:val="00CB18EB"/>
    <w:rsid w:val="00CB2073"/>
    <w:rsid w:val="00CB3CFE"/>
    <w:rsid w:val="00CB432D"/>
    <w:rsid w:val="00CB441E"/>
    <w:rsid w:val="00CB4B0F"/>
    <w:rsid w:val="00CC61C2"/>
    <w:rsid w:val="00CC72E9"/>
    <w:rsid w:val="00CC76A1"/>
    <w:rsid w:val="00CC7F41"/>
    <w:rsid w:val="00CD25C2"/>
    <w:rsid w:val="00CE24E5"/>
    <w:rsid w:val="00CE41DB"/>
    <w:rsid w:val="00CE4D96"/>
    <w:rsid w:val="00CE533D"/>
    <w:rsid w:val="00CE6BBB"/>
    <w:rsid w:val="00CF0201"/>
    <w:rsid w:val="00CF191B"/>
    <w:rsid w:val="00CF36F0"/>
    <w:rsid w:val="00CF3776"/>
    <w:rsid w:val="00CF762A"/>
    <w:rsid w:val="00D0608B"/>
    <w:rsid w:val="00D078C4"/>
    <w:rsid w:val="00D107D4"/>
    <w:rsid w:val="00D10E30"/>
    <w:rsid w:val="00D15EA5"/>
    <w:rsid w:val="00D20CAF"/>
    <w:rsid w:val="00D2100B"/>
    <w:rsid w:val="00D2222C"/>
    <w:rsid w:val="00D25463"/>
    <w:rsid w:val="00D30187"/>
    <w:rsid w:val="00D3089E"/>
    <w:rsid w:val="00D31D7A"/>
    <w:rsid w:val="00D3346B"/>
    <w:rsid w:val="00D33E60"/>
    <w:rsid w:val="00D35E12"/>
    <w:rsid w:val="00D40CB4"/>
    <w:rsid w:val="00D460E7"/>
    <w:rsid w:val="00D50EA2"/>
    <w:rsid w:val="00D63ABC"/>
    <w:rsid w:val="00D67276"/>
    <w:rsid w:val="00D675F1"/>
    <w:rsid w:val="00D73B96"/>
    <w:rsid w:val="00D74434"/>
    <w:rsid w:val="00D766BE"/>
    <w:rsid w:val="00D807FF"/>
    <w:rsid w:val="00D80807"/>
    <w:rsid w:val="00D860EC"/>
    <w:rsid w:val="00D86917"/>
    <w:rsid w:val="00D86A9D"/>
    <w:rsid w:val="00D92A9D"/>
    <w:rsid w:val="00D92F22"/>
    <w:rsid w:val="00D92F9A"/>
    <w:rsid w:val="00D93DC5"/>
    <w:rsid w:val="00D9427D"/>
    <w:rsid w:val="00D94ECD"/>
    <w:rsid w:val="00D96128"/>
    <w:rsid w:val="00DA1CC6"/>
    <w:rsid w:val="00DA257E"/>
    <w:rsid w:val="00DA288D"/>
    <w:rsid w:val="00DA36EE"/>
    <w:rsid w:val="00DA452E"/>
    <w:rsid w:val="00DA5128"/>
    <w:rsid w:val="00DB308D"/>
    <w:rsid w:val="00DB376D"/>
    <w:rsid w:val="00DB5F40"/>
    <w:rsid w:val="00DC4EFA"/>
    <w:rsid w:val="00DC62A1"/>
    <w:rsid w:val="00DD02D4"/>
    <w:rsid w:val="00DD1E47"/>
    <w:rsid w:val="00DD3A3F"/>
    <w:rsid w:val="00DD3C65"/>
    <w:rsid w:val="00DD61A9"/>
    <w:rsid w:val="00DD6EF1"/>
    <w:rsid w:val="00DE352F"/>
    <w:rsid w:val="00DE4958"/>
    <w:rsid w:val="00DF1404"/>
    <w:rsid w:val="00DF2E01"/>
    <w:rsid w:val="00DF329A"/>
    <w:rsid w:val="00E02B38"/>
    <w:rsid w:val="00E04361"/>
    <w:rsid w:val="00E0468E"/>
    <w:rsid w:val="00E064FD"/>
    <w:rsid w:val="00E1053A"/>
    <w:rsid w:val="00E123DC"/>
    <w:rsid w:val="00E12A39"/>
    <w:rsid w:val="00E1525A"/>
    <w:rsid w:val="00E215E5"/>
    <w:rsid w:val="00E219C3"/>
    <w:rsid w:val="00E2245F"/>
    <w:rsid w:val="00E231B8"/>
    <w:rsid w:val="00E23279"/>
    <w:rsid w:val="00E26AF3"/>
    <w:rsid w:val="00E276E0"/>
    <w:rsid w:val="00E314EA"/>
    <w:rsid w:val="00E33FDA"/>
    <w:rsid w:val="00E40341"/>
    <w:rsid w:val="00E406D5"/>
    <w:rsid w:val="00E41DA5"/>
    <w:rsid w:val="00E43C68"/>
    <w:rsid w:val="00E43D9D"/>
    <w:rsid w:val="00E54059"/>
    <w:rsid w:val="00E56701"/>
    <w:rsid w:val="00E56D49"/>
    <w:rsid w:val="00E56DF4"/>
    <w:rsid w:val="00E57198"/>
    <w:rsid w:val="00E62453"/>
    <w:rsid w:val="00E62754"/>
    <w:rsid w:val="00E63769"/>
    <w:rsid w:val="00E64339"/>
    <w:rsid w:val="00E64D2D"/>
    <w:rsid w:val="00E66372"/>
    <w:rsid w:val="00E66DE1"/>
    <w:rsid w:val="00E72D2B"/>
    <w:rsid w:val="00E72D34"/>
    <w:rsid w:val="00E7427E"/>
    <w:rsid w:val="00E85557"/>
    <w:rsid w:val="00E85FF4"/>
    <w:rsid w:val="00E86B53"/>
    <w:rsid w:val="00E90073"/>
    <w:rsid w:val="00E9110B"/>
    <w:rsid w:val="00E92C67"/>
    <w:rsid w:val="00E93AE8"/>
    <w:rsid w:val="00E9470E"/>
    <w:rsid w:val="00E96FDA"/>
    <w:rsid w:val="00EA08B9"/>
    <w:rsid w:val="00EA0D4D"/>
    <w:rsid w:val="00EA143F"/>
    <w:rsid w:val="00EA2B6F"/>
    <w:rsid w:val="00EA4150"/>
    <w:rsid w:val="00EA6386"/>
    <w:rsid w:val="00EB07A6"/>
    <w:rsid w:val="00EB106B"/>
    <w:rsid w:val="00EB3478"/>
    <w:rsid w:val="00EB4B39"/>
    <w:rsid w:val="00EB6FE3"/>
    <w:rsid w:val="00EB71AD"/>
    <w:rsid w:val="00ED1E24"/>
    <w:rsid w:val="00ED3652"/>
    <w:rsid w:val="00ED7D49"/>
    <w:rsid w:val="00EE0F65"/>
    <w:rsid w:val="00EE1272"/>
    <w:rsid w:val="00EE187E"/>
    <w:rsid w:val="00EE1CE1"/>
    <w:rsid w:val="00EE23B7"/>
    <w:rsid w:val="00EE2925"/>
    <w:rsid w:val="00EE3A71"/>
    <w:rsid w:val="00EE76D2"/>
    <w:rsid w:val="00EE7EEC"/>
    <w:rsid w:val="00EF3E77"/>
    <w:rsid w:val="00EF4B0B"/>
    <w:rsid w:val="00F01283"/>
    <w:rsid w:val="00F02AAE"/>
    <w:rsid w:val="00F05D21"/>
    <w:rsid w:val="00F11A64"/>
    <w:rsid w:val="00F12F1B"/>
    <w:rsid w:val="00F17584"/>
    <w:rsid w:val="00F17701"/>
    <w:rsid w:val="00F21183"/>
    <w:rsid w:val="00F246A1"/>
    <w:rsid w:val="00F26DED"/>
    <w:rsid w:val="00F321FB"/>
    <w:rsid w:val="00F375B1"/>
    <w:rsid w:val="00F37917"/>
    <w:rsid w:val="00F42D5E"/>
    <w:rsid w:val="00F5416F"/>
    <w:rsid w:val="00F5513E"/>
    <w:rsid w:val="00F63175"/>
    <w:rsid w:val="00F63F3F"/>
    <w:rsid w:val="00F66FA5"/>
    <w:rsid w:val="00F71678"/>
    <w:rsid w:val="00F71CCD"/>
    <w:rsid w:val="00F730E3"/>
    <w:rsid w:val="00F755E9"/>
    <w:rsid w:val="00F7562C"/>
    <w:rsid w:val="00F7651A"/>
    <w:rsid w:val="00F82396"/>
    <w:rsid w:val="00F82E6E"/>
    <w:rsid w:val="00F86A0D"/>
    <w:rsid w:val="00F909CD"/>
    <w:rsid w:val="00F91849"/>
    <w:rsid w:val="00F946A1"/>
    <w:rsid w:val="00F974D1"/>
    <w:rsid w:val="00FA16E0"/>
    <w:rsid w:val="00FB5575"/>
    <w:rsid w:val="00FB695C"/>
    <w:rsid w:val="00FC0FA5"/>
    <w:rsid w:val="00FC4397"/>
    <w:rsid w:val="00FD03D9"/>
    <w:rsid w:val="00FD05AD"/>
    <w:rsid w:val="00FD0666"/>
    <w:rsid w:val="00FD7295"/>
    <w:rsid w:val="00FE1DD0"/>
    <w:rsid w:val="00FE2187"/>
    <w:rsid w:val="00FE320C"/>
    <w:rsid w:val="00FE513D"/>
    <w:rsid w:val="00FE51D6"/>
    <w:rsid w:val="00FE6083"/>
    <w:rsid w:val="00FE651C"/>
    <w:rsid w:val="00FE7323"/>
    <w:rsid w:val="00FF197B"/>
    <w:rsid w:val="00FF210A"/>
    <w:rsid w:val="00FF5BA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99CED44"/>
  <w15:docId w15:val="{C8945F50-38A6-4344-9F8C-69F84B1A1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tcBorders>
        <w:top w:val="nil"/>
        <w:left w:val="nil"/>
        <w:bottom w:val="nil"/>
        <w:right w:val="nil"/>
      </w:tcBorders>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tcBorders>
        <w:top w:val="nil"/>
        <w:left w:val="nil"/>
        <w:bottom w:val="nil"/>
        <w:right w:val="nil"/>
      </w:tcBorders>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tcBorders>
        <w:top w:val="nil"/>
        <w:left w:val="nil"/>
        <w:bottom w:val="nil"/>
        <w:right w:val="nil"/>
      </w:tcBorders>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tcBorders>
        <w:top w:val="nil"/>
        <w:left w:val="nil"/>
        <w:bottom w:val="nil"/>
        <w:right w:val="nil"/>
      </w:tcBorders>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tcBorders>
        <w:top w:val="nil"/>
        <w:left w:val="nil"/>
        <w:bottom w:val="nil"/>
        <w:right w:val="nil"/>
      </w:tcBorders>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tcBorders>
        <w:top w:val="nil"/>
        <w:left w:val="nil"/>
        <w:bottom w:val="nil"/>
        <w:right w:val="nil"/>
      </w:tcBorders>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tcBorders>
        <w:top w:val="nil"/>
        <w:left w:val="nil"/>
        <w:bottom w:val="nil"/>
        <w:right w:val="nil"/>
      </w:tcBorders>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tcBorders>
        <w:top w:val="nil"/>
        <w:left w:val="nil"/>
        <w:bottom w:val="nil"/>
        <w:right w:val="nil"/>
      </w:tcBorders>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tcBorders>
        <w:top w:val="nil"/>
        <w:left w:val="nil"/>
        <w:bottom w:val="nil"/>
        <w:right w:val="nil"/>
      </w:tcBorders>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tcBorders>
        <w:top w:val="nil"/>
        <w:left w:val="nil"/>
        <w:bottom w:val="nil"/>
        <w:right w:val="nil"/>
      </w:tcBorders>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tcBorders>
        <w:top w:val="nil"/>
        <w:left w:val="nil"/>
        <w:bottom w:val="nil"/>
        <w:right w:val="nil"/>
      </w:tcBorders>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tcBorders>
        <w:top w:val="nil"/>
        <w:left w:val="nil"/>
        <w:bottom w:val="nil"/>
        <w:right w:val="nil"/>
      </w:tcBorders>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tcBorders>
        <w:top w:val="nil"/>
        <w:left w:val="nil"/>
        <w:bottom w:val="nil"/>
        <w:right w:val="nil"/>
      </w:tcBorders>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Pr>
    <w:tcPr>
      <w:shd w:val="clear" w:color="auto" w:fill="CCCCCC" w:themeFill="text1" w:themeFillTint="33"/>
    </w:tc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style>
  <w:style w:type="table" w:styleId="GridTable2-Accent1">
    <w:name w:val="Grid Table 2 Accent 1"/>
    <w:basedOn w:val="TableNormal"/>
    <w:uiPriority w:val="47"/>
    <w:rsid w:val="004A0DFE"/>
    <w:tblPr>
      <w:tblStyleRowBandSize w:val="1"/>
      <w:tblStyleColBandSize w:val="1"/>
    </w:tblPr>
    <w:tcPr>
      <w:shd w:val="clear" w:color="auto" w:fill="DACDED" w:themeFill="accent1" w:themeFillTint="33"/>
    </w:tc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style>
  <w:style w:type="table" w:styleId="GridTable2-Accent2">
    <w:name w:val="Grid Table 2 Accent 2"/>
    <w:basedOn w:val="TableNormal"/>
    <w:uiPriority w:val="47"/>
    <w:rsid w:val="004A0DFE"/>
    <w:tblPr>
      <w:tblStyleRowBandSize w:val="1"/>
      <w:tblStyleColBandSize w:val="1"/>
    </w:tblPr>
    <w:tcPr>
      <w:shd w:val="clear" w:color="auto" w:fill="F4F2EF" w:themeFill="accent2" w:themeFillTint="33"/>
    </w:tc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style>
  <w:style w:type="table" w:styleId="GridTable2-Accent3">
    <w:name w:val="Grid Table 2 Accent 3"/>
    <w:basedOn w:val="TableNormal"/>
    <w:uiPriority w:val="47"/>
    <w:rsid w:val="004A0DFE"/>
    <w:tblPr>
      <w:tblStyleRowBandSize w:val="1"/>
      <w:tblStyleColBandSize w:val="1"/>
    </w:tblPr>
    <w:tcPr>
      <w:shd w:val="clear" w:color="auto" w:fill="BDF9FF" w:themeFill="accent3" w:themeFillTint="33"/>
    </w:tc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style>
  <w:style w:type="table" w:styleId="GridTable2-Accent4">
    <w:name w:val="Grid Table 2 Accent 4"/>
    <w:basedOn w:val="TableNormal"/>
    <w:uiPriority w:val="47"/>
    <w:rsid w:val="004A0DFE"/>
    <w:tblPr>
      <w:tblStyleRowBandSize w:val="1"/>
      <w:tblStyleColBandSize w:val="1"/>
    </w:tblPr>
    <w:tcPr>
      <w:shd w:val="clear" w:color="auto" w:fill="FFE4D2" w:themeFill="accent4" w:themeFillTint="33"/>
    </w:tc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style>
  <w:style w:type="table" w:styleId="GridTable2-Accent5">
    <w:name w:val="Grid Table 2 Accent 5"/>
    <w:basedOn w:val="TableNormal"/>
    <w:uiPriority w:val="47"/>
    <w:rsid w:val="004A0DFE"/>
    <w:tblPr>
      <w:tblStyleRowBandSize w:val="1"/>
      <w:tblStyleColBandSize w:val="1"/>
    </w:tblPr>
    <w:tcPr>
      <w:shd w:val="clear" w:color="auto" w:fill="EAF7D6" w:themeFill="accent5" w:themeFillTint="33"/>
    </w:tc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style>
  <w:style w:type="table" w:styleId="GridTable2-Accent6">
    <w:name w:val="Grid Table 2 Accent 6"/>
    <w:basedOn w:val="TableNormal"/>
    <w:uiPriority w:val="47"/>
    <w:rsid w:val="004A0DFE"/>
    <w:tblPr>
      <w:tblStyleRowBandSize w:val="1"/>
      <w:tblStyleColBandSize w:val="1"/>
    </w:tblPr>
    <w:tcPr>
      <w:shd w:val="clear" w:color="auto" w:fill="FAD3D8" w:themeFill="accent6" w:themeFillTint="33"/>
    </w:tc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style>
  <w:style w:type="table" w:styleId="GridTable3">
    <w:name w:val="Grid Table 3"/>
    <w:basedOn w:val="TableNormal"/>
    <w:uiPriority w:val="48"/>
    <w:rsid w:val="004A0DFE"/>
    <w:tblPr>
      <w:tblStyleRowBandSize w:val="1"/>
      <w:tblStyleColBandSize w:val="1"/>
    </w:tblPr>
    <w:tcPr>
      <w:shd w:val="clear" w:color="auto" w:fill="CCCCCC" w:themeFill="text1"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Pr>
    <w:tcPr>
      <w:shd w:val="clear" w:color="auto" w:fill="DACDED" w:themeFill="accent1"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Pr>
    <w:tcPr>
      <w:shd w:val="clear" w:color="auto" w:fill="F4F2EF" w:themeFill="accent2"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Pr>
    <w:tcPr>
      <w:shd w:val="clear" w:color="auto" w:fill="BDF9FF" w:themeFill="accent3"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Pr>
    <w:tcPr>
      <w:shd w:val="clear" w:color="auto" w:fill="FFE4D2" w:themeFill="accent4"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Pr>
    <w:tcPr>
      <w:shd w:val="clear" w:color="auto" w:fill="EAF7D6" w:themeFill="accent5"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Pr>
    <w:tcPr>
      <w:shd w:val="clear" w:color="auto" w:fill="FAD3D8" w:themeFill="accent6"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Pr>
    <w:tcPr>
      <w:tcBorders>
        <w:top w:val="double" w:sz="4" w:space="0" w:color="000000" w:themeColor="text1"/>
      </w:tcBorders>
      <w:shd w:val="clear" w:color="auto" w:fill="CCCCCC" w:themeFill="text1" w:themeFillTint="33"/>
    </w:tc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StylePr>
    <w:tblStylePr w:type="firstCol">
      <w:rPr>
        <w:b/>
        <w:bCs/>
      </w:rPr>
    </w:tblStylePr>
    <w:tblStylePr w:type="lastCol">
      <w:rPr>
        <w:b/>
        <w:bCs/>
      </w:rPr>
    </w:tblStylePr>
  </w:style>
  <w:style w:type="table" w:styleId="GridTable4-Accent1">
    <w:name w:val="Grid Table 4 Accent 1"/>
    <w:basedOn w:val="TableNormal"/>
    <w:uiPriority w:val="49"/>
    <w:rsid w:val="004A0DFE"/>
    <w:tblPr>
      <w:tblStyleRowBandSize w:val="1"/>
      <w:tblStyleColBandSize w:val="1"/>
    </w:tblPr>
    <w:tcPr>
      <w:tcBorders>
        <w:top w:val="double" w:sz="4" w:space="0" w:color="4F2D7F" w:themeColor="accent1"/>
      </w:tcBorders>
      <w:shd w:val="clear" w:color="auto" w:fill="DACDED" w:themeFill="accent1" w:themeFillTint="33"/>
    </w:tc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StylePr>
    <w:tblStylePr w:type="firstCol">
      <w:rPr>
        <w:b/>
        <w:bCs/>
      </w:rPr>
    </w:tblStylePr>
    <w:tblStylePr w:type="lastCol">
      <w:rPr>
        <w:b/>
        <w:bCs/>
      </w:rPr>
    </w:tblStylePr>
  </w:style>
  <w:style w:type="table" w:styleId="GridTable4-Accent2">
    <w:name w:val="Grid Table 4 Accent 2"/>
    <w:basedOn w:val="TableNormal"/>
    <w:uiPriority w:val="49"/>
    <w:rsid w:val="004A0DFE"/>
    <w:tblPr>
      <w:tblStyleRowBandSize w:val="1"/>
      <w:tblStyleColBandSize w:val="1"/>
    </w:tblPr>
    <w:tcPr>
      <w:tcBorders>
        <w:top w:val="double" w:sz="4" w:space="0" w:color="C8BEAF" w:themeColor="accent2"/>
      </w:tcBorders>
      <w:shd w:val="clear" w:color="auto" w:fill="F4F2EF" w:themeFill="accent2" w:themeFillTint="33"/>
    </w:tc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StylePr>
    <w:tblStylePr w:type="firstCol">
      <w:rPr>
        <w:b/>
        <w:bCs/>
      </w:rPr>
    </w:tblStylePr>
    <w:tblStylePr w:type="lastCol">
      <w:rPr>
        <w:b/>
        <w:bCs/>
      </w:rPr>
    </w:tblStylePr>
  </w:style>
  <w:style w:type="table" w:styleId="GridTable4-Accent3">
    <w:name w:val="Grid Table 4 Accent 3"/>
    <w:basedOn w:val="TableNormal"/>
    <w:uiPriority w:val="49"/>
    <w:rsid w:val="004A0DFE"/>
    <w:tblPr>
      <w:tblStyleRowBandSize w:val="1"/>
      <w:tblStyleColBandSize w:val="1"/>
    </w:tblPr>
    <w:tcPr>
      <w:tcBorders>
        <w:top w:val="double" w:sz="4" w:space="0" w:color="00A7B5" w:themeColor="accent3"/>
      </w:tcBorders>
      <w:shd w:val="clear" w:color="auto" w:fill="BDF9FF" w:themeFill="accent3" w:themeFillTint="33"/>
    </w:tc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StylePr>
    <w:tblStylePr w:type="firstCol">
      <w:rPr>
        <w:b/>
        <w:bCs/>
      </w:rPr>
    </w:tblStylePr>
    <w:tblStylePr w:type="lastCol">
      <w:rPr>
        <w:b/>
        <w:bCs/>
      </w:rPr>
    </w:tblStylePr>
  </w:style>
  <w:style w:type="table" w:styleId="GridTable4-Accent4">
    <w:name w:val="Grid Table 4 Accent 4"/>
    <w:basedOn w:val="TableNormal"/>
    <w:uiPriority w:val="49"/>
    <w:rsid w:val="004A0DFE"/>
    <w:tblPr>
      <w:tblStyleRowBandSize w:val="1"/>
      <w:tblStyleColBandSize w:val="1"/>
    </w:tblPr>
    <w:tcPr>
      <w:tcBorders>
        <w:top w:val="double" w:sz="4" w:space="0" w:color="FF7D1E" w:themeColor="accent4"/>
      </w:tcBorders>
      <w:shd w:val="clear" w:color="auto" w:fill="FFE4D2" w:themeFill="accent4" w:themeFillTint="33"/>
    </w:tc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StylePr>
    <w:tblStylePr w:type="firstCol">
      <w:rPr>
        <w:b/>
        <w:bCs/>
      </w:rPr>
    </w:tblStylePr>
    <w:tblStylePr w:type="lastCol">
      <w:rPr>
        <w:b/>
        <w:bCs/>
      </w:rPr>
    </w:tblStylePr>
  </w:style>
  <w:style w:type="table" w:styleId="GridTable4-Accent5">
    <w:name w:val="Grid Table 4 Accent 5"/>
    <w:basedOn w:val="TableNormal"/>
    <w:uiPriority w:val="49"/>
    <w:rsid w:val="004A0DFE"/>
    <w:tblPr>
      <w:tblStyleRowBandSize w:val="1"/>
      <w:tblStyleColBandSize w:val="1"/>
    </w:tblPr>
    <w:tcPr>
      <w:tcBorders>
        <w:top w:val="double" w:sz="4" w:space="0" w:color="9BD732" w:themeColor="accent5"/>
      </w:tcBorders>
      <w:shd w:val="clear" w:color="auto" w:fill="EAF7D6" w:themeFill="accent5" w:themeFillTint="33"/>
    </w:tc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StylePr>
    <w:tblStylePr w:type="firstCol">
      <w:rPr>
        <w:b/>
        <w:bCs/>
      </w:rPr>
    </w:tblStylePr>
    <w:tblStylePr w:type="lastCol">
      <w:rPr>
        <w:b/>
        <w:bCs/>
      </w:rPr>
    </w:tblStylePr>
  </w:style>
  <w:style w:type="table" w:styleId="GridTable4-Accent6">
    <w:name w:val="Grid Table 4 Accent 6"/>
    <w:basedOn w:val="TableNormal"/>
    <w:uiPriority w:val="49"/>
    <w:rsid w:val="004A0DFE"/>
    <w:tblPr>
      <w:tblStyleRowBandSize w:val="1"/>
      <w:tblStyleColBandSize w:val="1"/>
    </w:tblPr>
    <w:tcPr>
      <w:tcBorders>
        <w:top w:val="double" w:sz="4" w:space="0" w:color="E92841" w:themeColor="accent6"/>
      </w:tcBorders>
      <w:shd w:val="clear" w:color="auto" w:fill="FAD3D8" w:themeFill="accent6" w:themeFillTint="33"/>
    </w:tc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StylePr>
    <w:tblStylePr w:type="firstCol">
      <w:rPr>
        <w:b/>
        <w:bCs/>
      </w:rPr>
    </w:tblStylePr>
    <w:tblStylePr w:type="lastCol">
      <w:rPr>
        <w:b/>
        <w:bCs/>
      </w:rPr>
    </w:tblStylePr>
  </w:style>
  <w:style w:type="table" w:styleId="GridTable5Dark">
    <w:name w:val="Grid Table 5 Dark"/>
    <w:basedOn w:val="TableNormal"/>
    <w:uiPriority w:val="50"/>
    <w:rsid w:val="004A0DFE"/>
    <w:tblPr>
      <w:tblStyleRowBandSize w:val="1"/>
      <w:tblStyleColBandSize w:val="1"/>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style>
  <w:style w:type="table" w:styleId="LightList-Accent1">
    <w:name w:val="Light List Accent 1"/>
    <w:basedOn w:val="TableNormal"/>
    <w:uiPriority w:val="61"/>
    <w:semiHidden/>
    <w:unhideWhenUsed/>
    <w:rsid w:val="004A0DFE"/>
    <w:tblPr>
      <w:tblStyleRowBandSize w:val="1"/>
      <w:tblStyleColBandSize w:val="1"/>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style>
  <w:style w:type="table" w:styleId="LightList-Accent2">
    <w:name w:val="Light List Accent 2"/>
    <w:basedOn w:val="TableNormal"/>
    <w:uiPriority w:val="61"/>
    <w:semiHidden/>
    <w:unhideWhenUsed/>
    <w:rsid w:val="004A0DFE"/>
    <w:tblPr>
      <w:tblStyleRowBandSize w:val="1"/>
      <w:tblStyleColBandSize w:val="1"/>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style>
  <w:style w:type="table" w:styleId="LightList-Accent3">
    <w:name w:val="Light List Accent 3"/>
    <w:basedOn w:val="TableNormal"/>
    <w:uiPriority w:val="61"/>
    <w:semiHidden/>
    <w:unhideWhenUsed/>
    <w:rsid w:val="004A0DFE"/>
    <w:tblPr>
      <w:tblStyleRowBandSize w:val="1"/>
      <w:tblStyleColBandSize w:val="1"/>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style>
  <w:style w:type="table" w:styleId="LightList-Accent4">
    <w:name w:val="Light List Accent 4"/>
    <w:basedOn w:val="TableNormal"/>
    <w:uiPriority w:val="61"/>
    <w:semiHidden/>
    <w:unhideWhenUsed/>
    <w:rsid w:val="004A0DFE"/>
    <w:tblPr>
      <w:tblStyleRowBandSize w:val="1"/>
      <w:tblStyleColBandSize w:val="1"/>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style>
  <w:style w:type="table" w:styleId="LightList-Accent5">
    <w:name w:val="Light List Accent 5"/>
    <w:basedOn w:val="TableNormal"/>
    <w:uiPriority w:val="61"/>
    <w:semiHidden/>
    <w:unhideWhenUsed/>
    <w:rsid w:val="004A0DFE"/>
    <w:tblPr>
      <w:tblStyleRowBandSize w:val="1"/>
      <w:tblStyleColBandSize w:val="1"/>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style>
  <w:style w:type="table" w:styleId="LightList-Accent6">
    <w:name w:val="Light List Accent 6"/>
    <w:basedOn w:val="TableNormal"/>
    <w:uiPriority w:val="61"/>
    <w:semiHidden/>
    <w:unhideWhenUsed/>
    <w:rsid w:val="004A0DFE"/>
    <w:tblPr>
      <w:tblStyleRowBandSize w:val="1"/>
      <w:tblStyleColBandSize w:val="1"/>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Pr>
    <w:tcPr>
      <w:shd w:val="clear" w:color="auto" w:fill="CCCCCC" w:themeFill="text1" w:themeFillTint="33"/>
    </w:tcPr>
    <w:tblStylePr w:type="firstRow">
      <w:rPr>
        <w:b/>
        <w:bCs/>
      </w:rPr>
    </w:tblStylePr>
    <w:tblStylePr w:type="lastRow">
      <w:rPr>
        <w:b/>
        <w:bCs/>
      </w:rPr>
    </w:tblStylePr>
    <w:tblStylePr w:type="firstCol">
      <w:rPr>
        <w:b/>
        <w:bCs/>
      </w:rPr>
    </w:tblStylePr>
    <w:tblStylePr w:type="lastCol">
      <w:rPr>
        <w:b/>
        <w:bCs/>
      </w:rPr>
    </w:tblStylePr>
  </w:style>
  <w:style w:type="table" w:styleId="ListTable2-Accent1">
    <w:name w:val="List Table 2 Accent 1"/>
    <w:basedOn w:val="TableNormal"/>
    <w:uiPriority w:val="47"/>
    <w:rsid w:val="004A0DFE"/>
    <w:tblPr>
      <w:tblStyleRowBandSize w:val="1"/>
      <w:tblStyleColBandSize w:val="1"/>
    </w:tblPr>
    <w:tcPr>
      <w:shd w:val="clear" w:color="auto" w:fill="DACDED" w:themeFill="accent1" w:themeFillTint="33"/>
    </w:tcPr>
    <w:tblStylePr w:type="firstRow">
      <w:rPr>
        <w:b/>
        <w:bCs/>
      </w:rPr>
    </w:tblStylePr>
    <w:tblStylePr w:type="lastRow">
      <w:rPr>
        <w:b/>
        <w:bCs/>
      </w:rPr>
    </w:tblStylePr>
    <w:tblStylePr w:type="firstCol">
      <w:rPr>
        <w:b/>
        <w:bCs/>
      </w:rPr>
    </w:tblStylePr>
    <w:tblStylePr w:type="lastCol">
      <w:rPr>
        <w:b/>
        <w:bCs/>
      </w:rPr>
    </w:tblStylePr>
  </w:style>
  <w:style w:type="table" w:styleId="ListTable2-Accent2">
    <w:name w:val="List Table 2 Accent 2"/>
    <w:basedOn w:val="TableNormal"/>
    <w:uiPriority w:val="47"/>
    <w:rsid w:val="004A0DFE"/>
    <w:tblPr>
      <w:tblStyleRowBandSize w:val="1"/>
      <w:tblStyleColBandSize w:val="1"/>
    </w:tblPr>
    <w:tcPr>
      <w:shd w:val="clear" w:color="auto" w:fill="F4F2EF" w:themeFill="accent2" w:themeFillTint="33"/>
    </w:tcPr>
    <w:tblStylePr w:type="firstRow">
      <w:rPr>
        <w:b/>
        <w:bCs/>
      </w:rPr>
    </w:tblStylePr>
    <w:tblStylePr w:type="lastRow">
      <w:rPr>
        <w:b/>
        <w:bCs/>
      </w:rPr>
    </w:tblStylePr>
    <w:tblStylePr w:type="firstCol">
      <w:rPr>
        <w:b/>
        <w:bCs/>
      </w:rPr>
    </w:tblStylePr>
    <w:tblStylePr w:type="lastCol">
      <w:rPr>
        <w:b/>
        <w:bCs/>
      </w:rPr>
    </w:tblStylePr>
  </w:style>
  <w:style w:type="table" w:styleId="ListTable2-Accent3">
    <w:name w:val="List Table 2 Accent 3"/>
    <w:basedOn w:val="TableNormal"/>
    <w:uiPriority w:val="47"/>
    <w:rsid w:val="004A0DFE"/>
    <w:tblPr>
      <w:tblStyleRowBandSize w:val="1"/>
      <w:tblStyleColBandSize w:val="1"/>
    </w:tblPr>
    <w:tcPr>
      <w:shd w:val="clear" w:color="auto" w:fill="BDF9FF" w:themeFill="accent3" w:themeFillTint="33"/>
    </w:tcPr>
    <w:tblStylePr w:type="firstRow">
      <w:rPr>
        <w:b/>
        <w:bCs/>
      </w:rPr>
    </w:tblStylePr>
    <w:tblStylePr w:type="lastRow">
      <w:rPr>
        <w:b/>
        <w:bCs/>
      </w:rPr>
    </w:tblStylePr>
    <w:tblStylePr w:type="firstCol">
      <w:rPr>
        <w:b/>
        <w:bCs/>
      </w:rPr>
    </w:tblStylePr>
    <w:tblStylePr w:type="lastCol">
      <w:rPr>
        <w:b/>
        <w:bCs/>
      </w:rPr>
    </w:tblStylePr>
  </w:style>
  <w:style w:type="table" w:styleId="ListTable2-Accent4">
    <w:name w:val="List Table 2 Accent 4"/>
    <w:basedOn w:val="TableNormal"/>
    <w:uiPriority w:val="47"/>
    <w:rsid w:val="004A0DFE"/>
    <w:tblPr>
      <w:tblStyleRowBandSize w:val="1"/>
      <w:tblStyleColBandSize w:val="1"/>
    </w:tblPr>
    <w:tcPr>
      <w:shd w:val="clear" w:color="auto" w:fill="FFE4D2" w:themeFill="accent4" w:themeFillTint="33"/>
    </w:tcPr>
    <w:tblStylePr w:type="firstRow">
      <w:rPr>
        <w:b/>
        <w:bCs/>
      </w:rPr>
    </w:tblStylePr>
    <w:tblStylePr w:type="lastRow">
      <w:rPr>
        <w:b/>
        <w:bCs/>
      </w:rPr>
    </w:tblStylePr>
    <w:tblStylePr w:type="firstCol">
      <w:rPr>
        <w:b/>
        <w:bCs/>
      </w:rPr>
    </w:tblStylePr>
    <w:tblStylePr w:type="lastCol">
      <w:rPr>
        <w:b/>
        <w:bCs/>
      </w:rPr>
    </w:tblStylePr>
  </w:style>
  <w:style w:type="table" w:styleId="ListTable2-Accent5">
    <w:name w:val="List Table 2 Accent 5"/>
    <w:basedOn w:val="TableNormal"/>
    <w:uiPriority w:val="47"/>
    <w:rsid w:val="004A0DFE"/>
    <w:tblPr>
      <w:tblStyleRowBandSize w:val="1"/>
      <w:tblStyleColBandSize w:val="1"/>
    </w:tblPr>
    <w:tcPr>
      <w:shd w:val="clear" w:color="auto" w:fill="EAF7D6" w:themeFill="accent5" w:themeFillTint="33"/>
    </w:tcPr>
    <w:tblStylePr w:type="firstRow">
      <w:rPr>
        <w:b/>
        <w:bCs/>
      </w:rPr>
    </w:tblStylePr>
    <w:tblStylePr w:type="lastRow">
      <w:rPr>
        <w:b/>
        <w:bCs/>
      </w:rPr>
    </w:tblStylePr>
    <w:tblStylePr w:type="firstCol">
      <w:rPr>
        <w:b/>
        <w:bCs/>
      </w:rPr>
    </w:tblStylePr>
    <w:tblStylePr w:type="lastCol">
      <w:rPr>
        <w:b/>
        <w:bCs/>
      </w:rPr>
    </w:tblStylePr>
  </w:style>
  <w:style w:type="table" w:styleId="ListTable2-Accent6">
    <w:name w:val="List Table 2 Accent 6"/>
    <w:basedOn w:val="TableNormal"/>
    <w:uiPriority w:val="47"/>
    <w:rsid w:val="004A0DFE"/>
    <w:tblPr>
      <w:tblStyleRowBandSize w:val="1"/>
      <w:tblStyleColBandSize w:val="1"/>
    </w:tblPr>
    <w:tcPr>
      <w:shd w:val="clear" w:color="auto" w:fill="FAD3D8" w:themeFill="accent6" w:themeFillTint="33"/>
    </w:tcPr>
    <w:tblStylePr w:type="firstRow">
      <w:rPr>
        <w:b/>
        <w:bCs/>
      </w:rPr>
    </w:tblStylePr>
    <w:tblStylePr w:type="lastRow">
      <w:rPr>
        <w:b/>
        <w:bCs/>
      </w:rPr>
    </w:tblStylePr>
    <w:tblStylePr w:type="firstCol">
      <w:rPr>
        <w:b/>
        <w:bCs/>
      </w:rPr>
    </w:tblStylePr>
    <w:tblStylePr w:type="lastCol">
      <w:rPr>
        <w:b/>
        <w:bCs/>
      </w:r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cPr>
      <w:tcBorders>
        <w:left w:val="single" w:sz="4" w:space="0" w:color="000000" w:themeColor="text1"/>
      </w:tcBorders>
      <w:shd w:val="clear" w:color="auto" w:fill="CCCCCC" w:themeFill="text1" w:themeFillTint="33"/>
    </w:tc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cPr>
      <w:tcBorders>
        <w:left w:val="single" w:sz="4" w:space="0" w:color="4F2D7F" w:themeColor="accent1"/>
      </w:tcBorders>
      <w:shd w:val="clear" w:color="auto" w:fill="DACDED" w:themeFill="accent1" w:themeFillTint="33"/>
    </w:tc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cPr>
      <w:tcBorders>
        <w:left w:val="single" w:sz="4" w:space="0" w:color="C8BEAF" w:themeColor="accent2"/>
      </w:tcBorders>
      <w:shd w:val="clear" w:color="auto" w:fill="F4F2EF" w:themeFill="accent2" w:themeFillTint="33"/>
    </w:tc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cPr>
      <w:tcBorders>
        <w:left w:val="single" w:sz="4" w:space="0" w:color="00A7B5" w:themeColor="accent3"/>
      </w:tcBorders>
      <w:shd w:val="clear" w:color="auto" w:fill="BDF9FF" w:themeFill="accent3" w:themeFillTint="33"/>
    </w:tc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cPr>
      <w:tcBorders>
        <w:left w:val="single" w:sz="4" w:space="0" w:color="FF7D1E" w:themeColor="accent4"/>
      </w:tcBorders>
      <w:shd w:val="clear" w:color="auto" w:fill="FFE4D2" w:themeFill="accent4" w:themeFillTint="33"/>
    </w:tc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cPr>
      <w:tcBorders>
        <w:left w:val="single" w:sz="4" w:space="0" w:color="9BD732" w:themeColor="accent5"/>
      </w:tcBorders>
      <w:shd w:val="clear" w:color="auto" w:fill="EAF7D6" w:themeFill="accent5" w:themeFillTint="33"/>
    </w:tc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cPr>
      <w:tcBorders>
        <w:left w:val="single" w:sz="4" w:space="0" w:color="E92841" w:themeColor="accent6"/>
      </w:tcBorders>
      <w:shd w:val="clear" w:color="auto" w:fill="FAD3D8" w:themeFill="accent6" w:themeFillTint="33"/>
    </w:tc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Pr>
    <w:tcPr>
      <w:shd w:val="clear" w:color="auto" w:fill="C0C0C0" w:themeFill="text1" w:themeFillTint="3F"/>
    </w:tc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Pr>
    <w:tcPr>
      <w:shd w:val="clear" w:color="auto" w:fill="D1C1E9" w:themeFill="accent1" w:themeFillTint="3F"/>
    </w:tc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Pr>
    <w:tcPr>
      <w:shd w:val="clear" w:color="auto" w:fill="F1EEEB" w:themeFill="accent2" w:themeFillTint="3F"/>
    </w:tc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Pr>
    <w:tcPr>
      <w:shd w:val="clear" w:color="auto" w:fill="ADF8FF" w:themeFill="accent3" w:themeFillTint="3F"/>
    </w:tc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Pr>
    <w:tcPr>
      <w:shd w:val="clear" w:color="auto" w:fill="FFDEC7" w:themeFill="accent4" w:themeFillTint="3F"/>
    </w:tc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Pr>
    <w:tcPr>
      <w:shd w:val="clear" w:color="auto" w:fill="E6F5CC" w:themeFill="accent5" w:themeFillTint="3F"/>
    </w:tc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Pr>
    <w:tcPr>
      <w:shd w:val="clear" w:color="auto" w:fill="F9C9CF" w:themeFill="accent6" w:themeFillTint="3F"/>
    </w:tc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Pr>
    <w:tcPr>
      <w:shd w:val="clear" w:color="auto" w:fill="C0C0C0" w:themeFill="text1" w:themeFillTint="3F"/>
    </w:tc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style>
  <w:style w:type="table" w:styleId="MediumShading1-Accent1">
    <w:name w:val="Medium Shading 1 Accent 1"/>
    <w:basedOn w:val="TableNormal"/>
    <w:uiPriority w:val="63"/>
    <w:semiHidden/>
    <w:unhideWhenUsed/>
    <w:rsid w:val="004A0DFE"/>
    <w:tblPr>
      <w:tblStyleRowBandSize w:val="1"/>
      <w:tblStyleColBandSize w:val="1"/>
    </w:tblPr>
    <w:tcPr>
      <w:shd w:val="clear" w:color="auto" w:fill="D1C1E9" w:themeFill="accent1" w:themeFillTint="3F"/>
    </w:tc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style>
  <w:style w:type="table" w:styleId="MediumShading1-Accent2">
    <w:name w:val="Medium Shading 1 Accent 2"/>
    <w:basedOn w:val="TableNormal"/>
    <w:uiPriority w:val="63"/>
    <w:semiHidden/>
    <w:unhideWhenUsed/>
    <w:rsid w:val="004A0DFE"/>
    <w:tblPr>
      <w:tblStyleRowBandSize w:val="1"/>
      <w:tblStyleColBandSize w:val="1"/>
    </w:tblPr>
    <w:tcPr>
      <w:shd w:val="clear" w:color="auto" w:fill="F1EEEB" w:themeFill="accent2" w:themeFillTint="3F"/>
    </w:tc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style>
  <w:style w:type="table" w:styleId="MediumShading1-Accent3">
    <w:name w:val="Medium Shading 1 Accent 3"/>
    <w:basedOn w:val="TableNormal"/>
    <w:uiPriority w:val="63"/>
    <w:semiHidden/>
    <w:unhideWhenUsed/>
    <w:rsid w:val="004A0DFE"/>
    <w:tblPr>
      <w:tblStyleRowBandSize w:val="1"/>
      <w:tblStyleColBandSize w:val="1"/>
    </w:tblPr>
    <w:tcPr>
      <w:shd w:val="clear" w:color="auto" w:fill="ADF8FF" w:themeFill="accent3" w:themeFillTint="3F"/>
    </w:tc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style>
  <w:style w:type="table" w:styleId="MediumShading1-Accent4">
    <w:name w:val="Medium Shading 1 Accent 4"/>
    <w:basedOn w:val="TableNormal"/>
    <w:uiPriority w:val="63"/>
    <w:semiHidden/>
    <w:unhideWhenUsed/>
    <w:rsid w:val="004A0DFE"/>
    <w:tblPr>
      <w:tblStyleRowBandSize w:val="1"/>
      <w:tblStyleColBandSize w:val="1"/>
    </w:tblPr>
    <w:tcPr>
      <w:shd w:val="clear" w:color="auto" w:fill="FFDEC7" w:themeFill="accent4" w:themeFillTint="3F"/>
    </w:tc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style>
  <w:style w:type="table" w:styleId="MediumShading1-Accent5">
    <w:name w:val="Medium Shading 1 Accent 5"/>
    <w:basedOn w:val="TableNormal"/>
    <w:uiPriority w:val="63"/>
    <w:semiHidden/>
    <w:unhideWhenUsed/>
    <w:rsid w:val="004A0DFE"/>
    <w:tblPr>
      <w:tblStyleRowBandSize w:val="1"/>
      <w:tblStyleColBandSize w:val="1"/>
    </w:tblPr>
    <w:tcPr>
      <w:shd w:val="clear" w:color="auto" w:fill="E6F5CC" w:themeFill="accent5" w:themeFillTint="3F"/>
    </w:tc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style>
  <w:style w:type="table" w:styleId="MediumShading1-Accent6">
    <w:name w:val="Medium Shading 1 Accent 6"/>
    <w:basedOn w:val="TableNormal"/>
    <w:uiPriority w:val="63"/>
    <w:semiHidden/>
    <w:unhideWhenUsed/>
    <w:rsid w:val="004A0DFE"/>
    <w:tblPr>
      <w:tblStyleRowBandSize w:val="1"/>
      <w:tblStyleColBandSize w:val="1"/>
    </w:tblPr>
    <w:tcPr>
      <w:shd w:val="clear" w:color="auto" w:fill="F9C9CF" w:themeFill="accent6" w:themeFillTint="3F"/>
    </w:tc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style>
  <w:style w:type="table" w:styleId="MediumShading2">
    <w:name w:val="Medium Shading 2"/>
    <w:basedOn w:val="TableNormal"/>
    <w:uiPriority w:val="64"/>
    <w:semiHidden/>
    <w:unhideWhenUsed/>
    <w:rsid w:val="004A0DFE"/>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Pr>
    <w:tcPr>
      <w:shd w:val="clear" w:color="auto" w:fill="F2F2F2" w:themeFill="background1" w:themeFillShade="F2"/>
    </w:tc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style>
  <w:style w:type="table" w:styleId="PlainTable2">
    <w:name w:val="Plain Table 2"/>
    <w:basedOn w:val="TableNormal"/>
    <w:uiPriority w:val="42"/>
    <w:rsid w:val="004A0DFE"/>
    <w:tblPr>
      <w:tblStyleRowBandSize w:val="1"/>
      <w:tblStyleColBandSize w:val="1"/>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cPr>
      <w:tcBorders>
        <w:right w:val="single" w:sz="4" w:space="0" w:color="7F7F7F" w:themeColor="text1" w:themeTint="80"/>
      </w:tcBorders>
    </w:tc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StylePr>
    <w:tblStylePr w:type="lastCol">
      <w:rPr>
        <w:b/>
        <w:bCs/>
        <w:caps/>
      </w:r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Pr w:type="firstRow">
      <w:rPr>
        <w:b/>
        <w:bCs/>
      </w:rPr>
    </w:tblStylePr>
    <w:tblStylePr w:type="lastRow">
      <w:rPr>
        <w:b/>
        <w:bCs/>
      </w:rPr>
    </w:tblStylePr>
    <w:tblStylePr w:type="firstCol">
      <w:rPr>
        <w:b/>
        <w:bCs/>
      </w:rPr>
    </w:tblStylePr>
    <w:tblStylePr w:type="lastCol">
      <w:rPr>
        <w:b/>
        <w:bCs/>
      </w:rPr>
    </w:tblStylePr>
  </w:style>
  <w:style w:type="table" w:styleId="PlainTable5">
    <w:name w:val="Plain Table 5"/>
    <w:basedOn w:val="TableNormal"/>
    <w:uiPriority w:val="45"/>
    <w:rsid w:val="004A0DFE"/>
    <w:tblPr>
      <w:tblStyleRowBandSize w:val="1"/>
      <w:tblStyleColBandSize w:val="1"/>
    </w:tblPr>
    <w:tcPr>
      <w:tcBorders>
        <w:right w:val="single" w:sz="4" w:space="0" w:color="7F7F7F" w:themeColor="text1" w:themeTint="80"/>
      </w:tcBorders>
      <w:shd w:val="clear" w:color="auto" w:fill="FFFFFF" w:themeFill="background1"/>
    </w:tc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tcBorders>
        <w:right w:val="single" w:sz="6" w:space="0" w:color="808080"/>
      </w:tcBorders>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tcBorders>
        <w:bottom w:val="single" w:sz="6" w:space="0" w:color="FFFFFF"/>
        <w:right w:val="single" w:sz="6" w:space="0" w:color="FFFFFF"/>
      </w:tcBorders>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cPr>
      <w:tcBorders>
        <w:bottom w:val="single" w:sz="6" w:space="0" w:color="FFFFFF"/>
      </w:tcBorders>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StylePr>
    <w:tblStylePr w:type="band2Vert">
      <w:rPr>
        <w:color w:val="auto"/>
      </w:rPr>
      <w:tblPr/>
      <w:tcPr>
        <w:shd w:val="pct50" w:color="C0C0C0" w:fill="FFFFFF"/>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cPr>
      <w:tcBorders>
        <w:top w:val="single" w:sz="6" w:space="0" w:color="000000"/>
        <w:right w:val="single" w:sz="6" w:space="0" w:color="000000"/>
      </w:tcBorders>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cPr>
      <w:tcBorders>
        <w:top w:val="single" w:sz="12" w:space="0" w:color="000000"/>
      </w:tcBorders>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StylePr>
    <w:tblStylePr w:type="firstCol">
      <w:rPr>
        <w:b/>
        <w:bCs/>
        <w:color w:val="000000"/>
      </w:rPr>
    </w:tblStylePr>
  </w:style>
  <w:style w:type="table" w:styleId="TableClassic4">
    <w:name w:val="Table Classic 4"/>
    <w:basedOn w:val="TableNormal"/>
    <w:semiHidden/>
    <w:unhideWhenUsed/>
    <w:rsid w:val="004A0DFE"/>
    <w:pPr>
      <w:spacing w:after="120" w:line="240" w:lineRule="atLeast"/>
    </w:pPr>
    <w:tblPr/>
    <w:tcPr>
      <w:tcBorders>
        <w:bottom w:val="single" w:sz="6" w:space="0" w:color="000000"/>
      </w:tcBorders>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StylePr>
    <w:tblStylePr w:type="firstCol">
      <w:rPr>
        <w:b/>
        <w:bCs/>
      </w:r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StylePr w:type="firstRow">
      <w:rPr>
        <w:b/>
        <w:bCs/>
        <w:i/>
        <w:iCs/>
      </w:rPr>
    </w:tblStylePr>
    <w:tblStylePr w:type="firstCol">
      <w:rPr>
        <w:b/>
        <w:bCs/>
        <w:i/>
        <w:iCs/>
      </w:rPr>
    </w:tblStylePr>
    <w:tblStylePr w:type="swCell">
      <w:rPr>
        <w:b/>
        <w:bCs/>
        <w:i w:val="0"/>
        <w:iCs w:val="0"/>
      </w:rPr>
    </w:tblStylePr>
  </w:style>
  <w:style w:type="table" w:styleId="TableColorful2">
    <w:name w:val="Table Colorful 2"/>
    <w:basedOn w:val="TableNormal"/>
    <w:semiHidden/>
    <w:unhideWhenUsed/>
    <w:rsid w:val="004A0DFE"/>
    <w:pPr>
      <w:spacing w:after="120" w:line="240" w:lineRule="atLeast"/>
    </w:pP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StylePr w:type="nwCell">
      <w:rPr>
        <w:b/>
        <w:bCs/>
        <w:color w:val="FFFFFF"/>
      </w:rPr>
    </w:tblStylePr>
  </w:style>
  <w:style w:type="table" w:styleId="TableColumns1">
    <w:name w:val="Table Columns 1"/>
    <w:basedOn w:val="TableNormal"/>
    <w:semiHidden/>
    <w:unhideWhenUsed/>
    <w:rsid w:val="004A0DFE"/>
    <w:pPr>
      <w:spacing w:after="120" w:line="240" w:lineRule="atLeast"/>
    </w:pPr>
    <w:rPr>
      <w:b/>
      <w:bCs/>
    </w:rPr>
    <w:tblPr>
      <w:tblStyleColBandSize w:val="1"/>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StylePr>
    <w:tblStylePr w:type="band1Vert">
      <w:rPr>
        <w:color w:val="auto"/>
      </w:rPr>
    </w:tblStylePr>
    <w:tblStylePr w:type="band2Vert">
      <w:rPr>
        <w:color w:val="auto"/>
      </w:r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cPr>
      <w:shd w:val="pct10" w:color="000000" w:fill="FFFFFF"/>
    </w:tc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StylePr>
    <w:tblStylePr w:type="band1Vert">
      <w:rPr>
        <w:color w:val="auto"/>
      </w:rPr>
    </w:tblStylePr>
    <w:tblStylePr w:type="band2Vert">
      <w:rPr>
        <w:color w:val="auto"/>
      </w:rPr>
    </w:tblStylePr>
  </w:style>
  <w:style w:type="table" w:styleId="TableColumns5">
    <w:name w:val="Table Columns 5"/>
    <w:basedOn w:val="TableNormal"/>
    <w:semiHidden/>
    <w:unhideWhenUsed/>
    <w:rsid w:val="004A0DFE"/>
    <w:pPr>
      <w:spacing w:after="120" w:line="240" w:lineRule="atLeast"/>
    </w:pPr>
    <w:tblPr>
      <w:tblStyleColBandSize w:val="1"/>
    </w:tblPr>
    <w:tcPr>
      <w:shd w:val="solid" w:color="C0C0C0" w:fill="FFFFFF"/>
    </w:tc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StylePr>
    <w:tblStylePr w:type="band1Vert">
      <w:rPr>
        <w:color w:val="auto"/>
      </w:r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Pr>
    <w:tcPr>
      <w:shd w:val="pct5" w:color="000000" w:fill="FFFFFF"/>
    </w:tc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StylePr w:type="firstRow">
      <w:rPr>
        <w:caps/>
        <w:color w:val="auto"/>
      </w:rPr>
    </w:tblStylePr>
  </w:style>
  <w:style w:type="table" w:styleId="TableGrid1">
    <w:name w:val="Table Grid 1"/>
    <w:basedOn w:val="TableNormal"/>
    <w:semiHidden/>
    <w:unhideWhenUsed/>
    <w:rsid w:val="004A0DFE"/>
    <w:pPr>
      <w:spacing w:after="120" w:line="240" w:lineRule="atLeast"/>
    </w:pPr>
    <w:tblPr/>
    <w:tblStylePr w:type="lastRow">
      <w:rPr>
        <w:i/>
        <w:iCs/>
      </w:rPr>
    </w:tblStylePr>
    <w:tblStylePr w:type="lastCol">
      <w:rPr>
        <w:i/>
        <w:iCs/>
      </w:rPr>
    </w:tblStylePr>
  </w:style>
  <w:style w:type="table" w:styleId="TableGrid2">
    <w:name w:val="Table Grid 2"/>
    <w:basedOn w:val="TableNormal"/>
    <w:semiHidden/>
    <w:unhideWhenUsed/>
    <w:rsid w:val="004A0DFE"/>
    <w:pPr>
      <w:spacing w:after="120" w:line="240" w:lineRule="atLeast"/>
    </w:pP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StylePr>
    <w:tblStylePr w:type="lastCol">
      <w:rPr>
        <w:b/>
        <w:bCs/>
      </w:rPr>
    </w:tblStylePr>
  </w:style>
  <w:style w:type="table" w:styleId="TableGrid3">
    <w:name w:val="Table Grid 3"/>
    <w:basedOn w:val="TableNormal"/>
    <w:semiHidden/>
    <w:unhideWhenUsed/>
    <w:rsid w:val="004A0DFE"/>
    <w:pPr>
      <w:spacing w:after="120" w:line="240" w:lineRule="atLeast"/>
    </w:pP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StylePr>
  </w:style>
  <w:style w:type="table" w:styleId="TableGrid4">
    <w:name w:val="Table Grid 4"/>
    <w:basedOn w:val="TableNormal"/>
    <w:semiHidden/>
    <w:unhideWhenUsed/>
    <w:rsid w:val="004A0DFE"/>
    <w:pPr>
      <w:spacing w:after="120" w:line="240" w:lineRule="atLeast"/>
    </w:pPr>
    <w:tblPr/>
    <w:tcPr>
      <w:tcBorders>
        <w:top w:val="single" w:sz="6" w:space="0" w:color="000000"/>
      </w:tcBorders>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StylePr>
    <w:tblStylePr w:type="lastCol">
      <w:rPr>
        <w:b/>
        <w:bCs/>
        <w:color w:val="auto"/>
      </w:rPr>
    </w:tblStylePr>
  </w:style>
  <w:style w:type="table" w:styleId="TableGrid5">
    <w:name w:val="Table Grid 5"/>
    <w:basedOn w:val="TableNormal"/>
    <w:semiHidden/>
    <w:unhideWhenUsed/>
    <w:rsid w:val="004A0DFE"/>
    <w:pPr>
      <w:spacing w:after="120" w:line="240" w:lineRule="atLeast"/>
    </w:pP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StylePr>
    <w:tblStylePr w:type="lastCol">
      <w:rPr>
        <w:b/>
        <w:bCs/>
      </w:r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StylePr>
  </w:style>
  <w:style w:type="table" w:styleId="TableGridLight">
    <w:name w:val="Grid Table Light"/>
    <w:basedOn w:val="TableNormal"/>
    <w:uiPriority w:val="40"/>
    <w:rsid w:val="004A0DFE"/>
    <w:tblPr/>
  </w:style>
  <w:style w:type="table" w:styleId="TableList1">
    <w:name w:val="Table List 1"/>
    <w:basedOn w:val="TableNormal"/>
    <w:semiHidden/>
    <w:unhideWhenUsed/>
    <w:rsid w:val="004A0DFE"/>
    <w:pPr>
      <w:spacing w:after="120" w:line="240" w:lineRule="atLeast"/>
    </w:pPr>
    <w:tblPr>
      <w:tblStyleRowBandSize w:val="1"/>
    </w:tblPr>
    <w:tcPr>
      <w:shd w:val="solid" w:color="C0C0C0" w:fill="FFFFFF"/>
    </w:tc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Pr>
    <w:tcPr>
      <w:shd w:val="pct20" w:color="00FF00" w:fill="FFFFFF"/>
    </w:tc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StylePr w:type="firstRow">
      <w:rPr>
        <w:b/>
        <w:bCs/>
        <w:color w:val="FFFFFF"/>
      </w:rPr>
    </w:tblStylePr>
  </w:style>
  <w:style w:type="table" w:styleId="TableList5">
    <w:name w:val="Table List 5"/>
    <w:basedOn w:val="TableNormal"/>
    <w:semiHidden/>
    <w:unhideWhenUsed/>
    <w:rsid w:val="004A0DFE"/>
    <w:pPr>
      <w:spacing w:after="120" w:line="240" w:lineRule="atLeast"/>
    </w:pPr>
    <w:tblPr/>
    <w:tcPr>
      <w:tcBorders>
        <w:bottom w:val="single" w:sz="12" w:space="0" w:color="000000"/>
      </w:tcBorders>
      <w:shd w:val="clear" w:color="auto" w:fill="auto"/>
    </w:tcPr>
    <w:tblStylePr w:type="firstRow">
      <w:rPr>
        <w:b/>
        <w:bCs/>
      </w:rPr>
    </w:tblStylePr>
    <w:tblStylePr w:type="firstCol">
      <w:rPr>
        <w:b/>
        <w:bCs/>
      </w:rPr>
    </w:tblStylePr>
  </w:style>
  <w:style w:type="table" w:styleId="TableList6">
    <w:name w:val="Table List 6"/>
    <w:basedOn w:val="TableNormal"/>
    <w:semiHidden/>
    <w:unhideWhenUsed/>
    <w:rsid w:val="004A0DFE"/>
    <w:pPr>
      <w:spacing w:after="120" w:line="240" w:lineRule="atLeast"/>
    </w:pPr>
    <w:tblPr>
      <w:tblStyleRowBandSize w:val="1"/>
    </w:tblPr>
    <w:tcPr>
      <w:tcBorders>
        <w:right w:val="single" w:sz="12" w:space="0" w:color="000000"/>
      </w:tcBorders>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StylePr>
  </w:style>
  <w:style w:type="table" w:styleId="TableList7">
    <w:name w:val="Table List 7"/>
    <w:basedOn w:val="TableNormal"/>
    <w:semiHidden/>
    <w:unhideWhenUsed/>
    <w:rsid w:val="004A0DFE"/>
    <w:pPr>
      <w:spacing w:after="120" w:line="240" w:lineRule="atLeast"/>
    </w:pPr>
    <w:tblPr>
      <w:tblStyleRowBandSize w:val="1"/>
    </w:tblPr>
    <w:tcPr>
      <w:shd w:val="pct20" w:color="000000" w:fill="FFFFFF"/>
    </w:tc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StylePr>
  </w:style>
  <w:style w:type="table" w:styleId="TableList8">
    <w:name w:val="Table List 8"/>
    <w:basedOn w:val="TableNormal"/>
    <w:semiHidden/>
    <w:unhideWhenUsed/>
    <w:rsid w:val="004A0DFE"/>
    <w:pPr>
      <w:spacing w:after="120" w:line="240" w:lineRule="atLeast"/>
    </w:pPr>
    <w:tblPr>
      <w:tblStyleRowBandSize w:val="1"/>
    </w:tblPr>
    <w:tcPr>
      <w:shd w:val="pct25" w:color="FFFF00" w:fill="FFFFFF"/>
    </w:tc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cPr>
      <w:shd w:val="clear" w:color="auto" w:fill="auto"/>
    </w:tcPr>
    <w:tblStylePr w:type="firstRow">
      <w:rPr>
        <w:b/>
        <w:bCs/>
        <w:color w:val="auto"/>
      </w:rPr>
    </w:tblStylePr>
  </w:style>
  <w:style w:type="table" w:styleId="TableSimple1">
    <w:name w:val="Table Simple 1"/>
    <w:basedOn w:val="TableNormal"/>
    <w:semiHidden/>
    <w:unhideWhenUsed/>
    <w:rsid w:val="004A0DFE"/>
    <w:pPr>
      <w:spacing w:after="120" w:line="240" w:lineRule="atLeast"/>
    </w:pP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StylePr>
    <w:tblStylePr w:type="firstCol">
      <w:rPr>
        <w:b/>
        <w:bCs/>
      </w:rPr>
    </w:tblStylePr>
    <w:tblStylePr w:type="lastCol">
      <w:rPr>
        <w:b/>
        <w:bCs/>
      </w:r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cPr>
      <w:tcBorders>
        <w:bottom w:val="single" w:sz="6" w:space="0" w:color="000000"/>
      </w:tcBorders>
      <w:shd w:val="pct25" w:color="808000" w:fill="FFFFFF"/>
    </w:tc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cPr>
      <w:tcBorders>
        <w:left w:val="single" w:sz="12" w:space="0" w:color="000000"/>
        <w:right w:val="single" w:sz="12" w:space="0" w:color="000000"/>
      </w:tcBorders>
      <w:shd w:val="pct25" w:color="808000" w:fill="FFFFFF"/>
    </w:tc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style>
  <w:style w:type="table" w:styleId="TableWeb1">
    <w:name w:val="Table Web 1"/>
    <w:basedOn w:val="TableNormal"/>
    <w:semiHidden/>
    <w:unhideWhenUsed/>
    <w:rsid w:val="004A0DFE"/>
    <w:pPr>
      <w:spacing w:after="120" w:line="240" w:lineRule="atLeast"/>
    </w:pPr>
    <w:tblPr/>
    <w:tblStylePr w:type="firstRow">
      <w:rPr>
        <w:color w:val="auto"/>
      </w:rPr>
    </w:tblStylePr>
  </w:style>
  <w:style w:type="table" w:styleId="TableWeb2">
    <w:name w:val="Table Web 2"/>
    <w:basedOn w:val="TableNormal"/>
    <w:semiHidden/>
    <w:unhideWhenUsed/>
    <w:rsid w:val="004A0DFE"/>
    <w:pPr>
      <w:spacing w:after="120" w:line="240" w:lineRule="atLeast"/>
    </w:pPr>
    <w:tblPr/>
    <w:tblStylePr w:type="firstRow">
      <w:rPr>
        <w:color w:val="auto"/>
      </w:rPr>
    </w:tblStylePr>
  </w:style>
  <w:style w:type="table" w:styleId="TableWeb3">
    <w:name w:val="Table Web 3"/>
    <w:basedOn w:val="TableNormal"/>
    <w:semiHidden/>
    <w:unhideWhenUsed/>
    <w:rsid w:val="004A0DFE"/>
    <w:pPr>
      <w:spacing w:after="120" w:line="240" w:lineRule="atLeast"/>
    </w:pPr>
    <w:tblPr/>
    <w:tblStylePr w:type="firstRow">
      <w:rPr>
        <w:color w:val="auto"/>
      </w:r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6635F3"/>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34598607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F12B13A4F38D74F97AB9F07E65AEB6E" ma:contentTypeVersion="3" ma:contentTypeDescription="Create a new document." ma:contentTypeScope="" ma:versionID="62c5d2b100076a210f120391c0cc60ea">
  <xsd:schema xmlns:xsd="http://www.w3.org/2001/XMLSchema" xmlns:xs="http://www.w3.org/2001/XMLSchema" xmlns:p="http://schemas.microsoft.com/office/2006/metadata/properties" xmlns:ns2="5aa06a3a-4414-4580-8afb-31ad53db1831" targetNamespace="http://schemas.microsoft.com/office/2006/metadata/properties" ma:root="true" ma:fieldsID="8b2f57fa1dfde62d12ce3b0bcae53cea" ns2:_="">
    <xsd:import namespace="5aa06a3a-4414-4580-8afb-31ad53db183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a06a3a-4414-4580-8afb-31ad53db18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45FC78-A264-4DD8-BC03-A4D7E7352E2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353B777-41FA-4F25-A40C-5CDC17028E5F}">
  <ds:schemaRefs>
    <ds:schemaRef ds:uri="http://schemas.microsoft.com/sharepoint/v3/contenttype/forms"/>
  </ds:schemaRefs>
</ds:datastoreItem>
</file>

<file path=customXml/itemProps3.xml><?xml version="1.0" encoding="utf-8"?>
<ds:datastoreItem xmlns:ds="http://schemas.openxmlformats.org/officeDocument/2006/customXml" ds:itemID="{C1E838AB-6C2A-431B-B143-347AE16713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a06a3a-4414-4580-8afb-31ad53db18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C4099B-B4E2-4227-A11F-722314119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549</TotalTime>
  <Pages>3</Pages>
  <Words>630</Words>
  <Characters>3661</Characters>
  <Application>Microsoft Office Word</Application>
  <DocSecurity>0</DocSecurity>
  <Lines>85</Lines>
  <Paragraphs>19</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4275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Pornarin Jarudech</cp:lastModifiedBy>
  <cp:revision>402</cp:revision>
  <cp:lastPrinted>2025-11-13T18:56:00Z</cp:lastPrinted>
  <dcterms:created xsi:type="dcterms:W3CDTF">2018-03-21T19:09:00Z</dcterms:created>
  <dcterms:modified xsi:type="dcterms:W3CDTF">2026-08-13T10:43:00Z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0x010100EF12B13A4F38D74F97AB9F07E65AEB6E</vt:lpwstr>
  </property>
  <property fmtid="{D5CDD505-2E9C-101B-9397-08002B2CF9AE}" pid="4" name="Order">
    <vt:r8>400800</vt:r8>
  </property>
  <property fmtid="{D5CDD505-2E9C-101B-9397-08002B2CF9AE}" pid="5" name="xd_Signature">
    <vt:bool>false</vt:bool>
  </property>
  <property fmtid="{D5CDD505-2E9C-101B-9397-08002B2CF9AE}" pid="6" name="xd_ProgID">
    <vt:lpwstr/>
  </property>
  <property fmtid="{D5CDD505-2E9C-101B-9397-08002B2CF9AE}" pid="7" name="TemplateUrl">
    <vt:lpwstr/>
  </property>
  <property fmtid="{D5CDD505-2E9C-101B-9397-08002B2CF9AE}" pid="8" name="ComplianceAssetId">
    <vt:lpwstr/>
  </property>
</Properties>
</file>